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812E" w14:textId="77777777" w:rsidR="00AE43FC" w:rsidRDefault="00AE43FC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i/>
          <w:color w:val="000000"/>
          <w:sz w:val="20"/>
          <w:szCs w:val="20"/>
          <w:lang w:val="pt-BR"/>
        </w:rPr>
      </w:pPr>
    </w:p>
    <w:p w14:paraId="250596D9" w14:textId="77777777" w:rsidR="00AE43FC" w:rsidRDefault="00AE43FC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i/>
          <w:color w:val="000000"/>
          <w:sz w:val="20"/>
          <w:szCs w:val="20"/>
          <w:lang w:val="pt-BR"/>
        </w:rPr>
      </w:pPr>
    </w:p>
    <w:p w14:paraId="4E35AC81" w14:textId="28A5AFD0" w:rsidR="00AE43FC" w:rsidRDefault="00AE43FC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i/>
          <w:color w:val="000000"/>
          <w:sz w:val="20"/>
          <w:szCs w:val="20"/>
          <w:lang w:val="pt-BR"/>
        </w:rPr>
      </w:pPr>
    </w:p>
    <w:p w14:paraId="77567A5A" w14:textId="77777777" w:rsidR="00AE43FC" w:rsidRPr="00BD38FC" w:rsidRDefault="00AE43FC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Theme="majorHAnsi" w:eastAsia="Bookman Old Style" w:hAnsiTheme="majorHAnsi" w:cstheme="majorHAnsi"/>
          <w:b/>
          <w:i/>
          <w:color w:val="000000"/>
          <w:sz w:val="20"/>
          <w:szCs w:val="20"/>
          <w:lang w:val="pt-BR"/>
        </w:rPr>
      </w:pPr>
    </w:p>
    <w:p w14:paraId="06D0D5B7" w14:textId="77777777" w:rsidR="00AE43FC" w:rsidRPr="00BD38FC" w:rsidRDefault="00AE43FC" w:rsidP="00AE43FC">
      <w:pPr>
        <w:spacing w:line="240" w:lineRule="atLeast"/>
        <w:jc w:val="center"/>
        <w:textAlignment w:val="baseline"/>
        <w:rPr>
          <w:rFonts w:asciiTheme="majorHAnsi" w:eastAsia="Bookman Old Style" w:hAnsiTheme="majorHAnsi" w:cstheme="majorHAnsi"/>
          <w:b/>
          <w:i/>
          <w:sz w:val="32"/>
          <w:szCs w:val="32"/>
          <w:lang w:val="pt-BR"/>
        </w:rPr>
      </w:pPr>
    </w:p>
    <w:p w14:paraId="72E362A9" w14:textId="70B5BAEC" w:rsidR="00AE43FC" w:rsidRPr="00BD38FC" w:rsidRDefault="001C2596" w:rsidP="00AE43FC">
      <w:pPr>
        <w:spacing w:line="240" w:lineRule="atLeast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</w:pP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 xml:space="preserve">BANCO WESTERN UNION DO BRASIL S.A. </w:t>
      </w:r>
    </w:p>
    <w:p w14:paraId="4A0833B7" w14:textId="2674CA46" w:rsidR="00335A0B" w:rsidRPr="00BD38FC" w:rsidRDefault="001C2596" w:rsidP="00AE43FC">
      <w:pPr>
        <w:spacing w:line="240" w:lineRule="atLeast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</w:pP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 xml:space="preserve">E </w:t>
      </w: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br/>
        <w:t xml:space="preserve">WESTERN UNION CORRETORA DE CÂMBIO S.A. </w:t>
      </w: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br/>
        <w:t>(“WESTERN UNION”)</w:t>
      </w:r>
    </w:p>
    <w:p w14:paraId="69809932" w14:textId="05821518" w:rsidR="00AE43FC" w:rsidRPr="00BD38FC" w:rsidRDefault="00AE43FC" w:rsidP="00AE43FC">
      <w:pPr>
        <w:spacing w:line="240" w:lineRule="atLeast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</w:pPr>
    </w:p>
    <w:p w14:paraId="6A6FEBD8" w14:textId="14A38934" w:rsidR="00AE43FC" w:rsidRPr="00BD38FC" w:rsidRDefault="00AE43FC" w:rsidP="00AE43FC">
      <w:pPr>
        <w:spacing w:line="240" w:lineRule="atLeast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</w:pPr>
    </w:p>
    <w:p w14:paraId="60D33A73" w14:textId="1064885E" w:rsidR="00AE43FC" w:rsidRPr="00BD38FC" w:rsidRDefault="00AE43FC" w:rsidP="00AE43FC">
      <w:pPr>
        <w:spacing w:line="240" w:lineRule="atLeast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</w:pPr>
    </w:p>
    <w:p w14:paraId="7BD03884" w14:textId="77777777" w:rsidR="00AE43FC" w:rsidRPr="00BD38FC" w:rsidRDefault="00AE43FC" w:rsidP="00AE43FC">
      <w:pPr>
        <w:spacing w:line="240" w:lineRule="atLeast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</w:pPr>
    </w:p>
    <w:p w14:paraId="02E50389" w14:textId="4956A2A5" w:rsidR="00AE43FC" w:rsidRPr="00BD38FC" w:rsidRDefault="00AE43FC" w:rsidP="00AE43FC">
      <w:pPr>
        <w:spacing w:line="240" w:lineRule="atLeast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</w:pPr>
    </w:p>
    <w:p w14:paraId="65E0CDA6" w14:textId="727C30F1" w:rsidR="00D849DA" w:rsidRPr="00BD38FC" w:rsidRDefault="00D849DA" w:rsidP="00D849DA">
      <w:pPr>
        <w:shd w:val="clear" w:color="auto" w:fill="FFFFFF"/>
        <w:spacing w:after="120"/>
        <w:jc w:val="center"/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</w:pP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 xml:space="preserve">Tabela GVR: Governança do </w:t>
      </w:r>
      <w:r w:rsidR="00174FA1"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>G</w:t>
      </w: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 xml:space="preserve">erenciamento do </w:t>
      </w:r>
      <w:r w:rsidR="00174FA1"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>R</w:t>
      </w: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 xml:space="preserve">isco </w:t>
      </w:r>
      <w:r w:rsidR="00174FA1"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>S</w:t>
      </w: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 xml:space="preserve">ocial, do </w:t>
      </w:r>
      <w:r w:rsidR="00174FA1"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>R</w:t>
      </w: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 xml:space="preserve">isco </w:t>
      </w:r>
      <w:r w:rsidR="00174FA1"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>A</w:t>
      </w: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 xml:space="preserve">mbiental e do </w:t>
      </w:r>
      <w:r w:rsidR="00174FA1"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>R</w:t>
      </w: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 xml:space="preserve">isco </w:t>
      </w:r>
      <w:r w:rsidR="00174FA1"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>C</w:t>
      </w:r>
      <w:r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>limático</w:t>
      </w:r>
      <w:r w:rsidR="00174FA1" w:rsidRPr="00BD38FC"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t>.</w:t>
      </w:r>
    </w:p>
    <w:p w14:paraId="2E6C3201" w14:textId="77777777" w:rsidR="00335A0B" w:rsidRPr="00BD38FC" w:rsidRDefault="00335A0B" w:rsidP="00AE43FC">
      <w:pPr>
        <w:spacing w:line="240" w:lineRule="atLeast"/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  <w:sectPr w:rsidR="00335A0B" w:rsidRPr="00BD38FC">
          <w:headerReference w:type="default" r:id="rId11"/>
          <w:footerReference w:type="even" r:id="rId12"/>
          <w:footerReference w:type="first" r:id="rId13"/>
          <w:pgSz w:w="12240" w:h="15840"/>
          <w:pgMar w:top="0" w:right="0" w:bottom="284" w:left="0" w:header="720" w:footer="720" w:gutter="0"/>
          <w:cols w:space="720"/>
        </w:sectPr>
      </w:pPr>
    </w:p>
    <w:p w14:paraId="0614EDE1" w14:textId="77777777" w:rsidR="00AE43FC" w:rsidRPr="00BD38FC" w:rsidRDefault="00AE43FC" w:rsidP="00AE43FC">
      <w:pPr>
        <w:spacing w:line="240" w:lineRule="atLeast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</w:pPr>
    </w:p>
    <w:p w14:paraId="6D012F37" w14:textId="77777777" w:rsidR="00AE43FC" w:rsidRPr="00BD38FC" w:rsidRDefault="00AE43FC" w:rsidP="00AE43FC">
      <w:pPr>
        <w:spacing w:line="240" w:lineRule="atLeast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pt-BR" w:eastAsia="pt-BR"/>
        </w:rPr>
      </w:pPr>
    </w:p>
    <w:p w14:paraId="1FB748CA" w14:textId="77777777" w:rsidR="00AE43FC" w:rsidRPr="00BD38FC" w:rsidRDefault="00AE43FC" w:rsidP="00AE43FC">
      <w:pPr>
        <w:spacing w:line="240" w:lineRule="atLeast"/>
        <w:jc w:val="center"/>
        <w:textAlignment w:val="baseline"/>
        <w:rPr>
          <w:rFonts w:ascii="Calibri" w:eastAsia="Times New Roman" w:hAnsi="Calibri" w:cs="Calibri"/>
          <w:b/>
          <w:bCs/>
          <w:sz w:val="26"/>
          <w:szCs w:val="26"/>
          <w:lang w:val="pt-BR" w:eastAsia="pt-BR"/>
        </w:rPr>
      </w:pPr>
    </w:p>
    <w:p w14:paraId="2977B7EE" w14:textId="77777777" w:rsidR="00335A0B" w:rsidRPr="00BD38FC" w:rsidRDefault="00335A0B" w:rsidP="00AE43FC">
      <w:pPr>
        <w:spacing w:line="240" w:lineRule="atLeast"/>
        <w:rPr>
          <w:rFonts w:ascii="Calibri" w:eastAsia="Times New Roman" w:hAnsi="Calibri" w:cs="Calibri"/>
          <w:b/>
          <w:bCs/>
          <w:sz w:val="26"/>
          <w:szCs w:val="26"/>
          <w:lang w:val="pt-BR" w:eastAsia="pt-BR"/>
        </w:rPr>
        <w:sectPr w:rsidR="00335A0B" w:rsidRPr="00BD38FC">
          <w:type w:val="continuous"/>
          <w:pgSz w:w="12240" w:h="15840"/>
          <w:pgMar w:top="0" w:right="0" w:bottom="284" w:left="0" w:header="720" w:footer="720" w:gutter="0"/>
          <w:cols w:space="720"/>
        </w:sectPr>
      </w:pPr>
    </w:p>
    <w:p w14:paraId="0CA93C5D" w14:textId="4DD505CF" w:rsidR="00335A0B" w:rsidRPr="00BD38FC" w:rsidRDefault="001C2596" w:rsidP="00BD38FC">
      <w:pPr>
        <w:spacing w:before="100" w:beforeAutospacing="1" w:after="100" w:afterAutospacing="1" w:line="240" w:lineRule="atLeast"/>
        <w:textAlignment w:val="baseline"/>
        <w:rPr>
          <w:rFonts w:ascii="Calibri" w:eastAsia="Times New Roman" w:hAnsi="Calibri" w:cs="Calibri"/>
          <w:b/>
          <w:bCs/>
          <w:sz w:val="26"/>
          <w:szCs w:val="26"/>
          <w:lang w:val="pt-BR" w:eastAsia="pt-BR"/>
        </w:rPr>
      </w:pPr>
      <w:r w:rsidRPr="00BD38FC">
        <w:rPr>
          <w:rFonts w:ascii="Calibri" w:eastAsia="Times New Roman" w:hAnsi="Calibri" w:cs="Calibri"/>
          <w:b/>
          <w:bCs/>
          <w:sz w:val="26"/>
          <w:szCs w:val="26"/>
          <w:lang w:val="pt-BR" w:eastAsia="pt-BR"/>
        </w:rPr>
        <w:lastRenderedPageBreak/>
        <w:t>BANCO WESTERN UNION DO BRASIL S.A. E WESTERN UNION CORRETORA DE</w:t>
      </w:r>
      <w:r w:rsidR="00BD38FC" w:rsidRPr="00BD38FC">
        <w:rPr>
          <w:rFonts w:ascii="Calibri" w:eastAsia="Times New Roman" w:hAnsi="Calibri" w:cs="Calibri"/>
          <w:b/>
          <w:bCs/>
          <w:sz w:val="26"/>
          <w:szCs w:val="26"/>
          <w:lang w:val="pt-BR" w:eastAsia="pt-BR"/>
        </w:rPr>
        <w:t xml:space="preserve"> </w:t>
      </w:r>
      <w:r w:rsidRPr="00BD38FC">
        <w:rPr>
          <w:rFonts w:ascii="Calibri" w:eastAsia="Times New Roman" w:hAnsi="Calibri" w:cs="Calibri"/>
          <w:b/>
          <w:bCs/>
          <w:sz w:val="26"/>
          <w:szCs w:val="26"/>
          <w:lang w:val="pt-BR" w:eastAsia="pt-BR"/>
        </w:rPr>
        <w:t>C</w:t>
      </w:r>
      <w:r w:rsidR="00A67AC4">
        <w:rPr>
          <w:rFonts w:ascii="Calibri" w:eastAsia="Times New Roman" w:hAnsi="Calibri" w:cs="Calibri"/>
          <w:b/>
          <w:bCs/>
          <w:sz w:val="26"/>
          <w:szCs w:val="26"/>
          <w:lang w:val="pt-BR" w:eastAsia="pt-BR"/>
        </w:rPr>
        <w:t>Â</w:t>
      </w:r>
      <w:r w:rsidRPr="00BD38FC">
        <w:rPr>
          <w:rFonts w:ascii="Calibri" w:eastAsia="Times New Roman" w:hAnsi="Calibri" w:cs="Calibri"/>
          <w:b/>
          <w:bCs/>
          <w:sz w:val="26"/>
          <w:szCs w:val="26"/>
          <w:lang w:val="pt-BR" w:eastAsia="pt-BR"/>
        </w:rPr>
        <w:t>MBIO S.A.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210"/>
      </w:tblGrid>
      <w:tr w:rsidR="00174FA1" w:rsidRPr="00EF45C4" w14:paraId="6775C272" w14:textId="77777777" w:rsidTr="000F778E">
        <w:tc>
          <w:tcPr>
            <w:tcW w:w="9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2C78" w14:textId="77777777" w:rsidR="00174FA1" w:rsidRPr="00174FA1" w:rsidRDefault="00174FA1" w:rsidP="000F778E">
            <w:pPr>
              <w:spacing w:after="100" w:afterAutospacing="1"/>
              <w:jc w:val="both"/>
              <w:rPr>
                <w:rFonts w:ascii="Ubuntu" w:eastAsia="Times New Roman" w:hAnsi="Ubuntu"/>
                <w:sz w:val="24"/>
                <w:szCs w:val="24"/>
                <w:lang w:val="pt-BR" w:eastAsia="pt-BR"/>
              </w:rPr>
            </w:pPr>
            <w:r w:rsidRPr="00174FA1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pt-BR" w:eastAsia="pt-BR"/>
              </w:rPr>
              <w:t>Objetivo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: Descrição da governança do gerenciamento do risco social, do risco ambiental e do risco climático.</w:t>
            </w:r>
          </w:p>
        </w:tc>
      </w:tr>
      <w:tr w:rsidR="00174FA1" w:rsidRPr="00DC2DD2" w14:paraId="52C335E5" w14:textId="77777777" w:rsidTr="000F778E">
        <w:tc>
          <w:tcPr>
            <w:tcW w:w="9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7ADD" w14:textId="77777777" w:rsidR="00174FA1" w:rsidRPr="00DC2DD2" w:rsidRDefault="00174FA1" w:rsidP="000F778E">
            <w:pPr>
              <w:spacing w:after="100" w:afterAutospacing="1"/>
              <w:rPr>
                <w:rFonts w:ascii="Ubuntu" w:eastAsia="Times New Roman" w:hAnsi="Ubuntu"/>
                <w:sz w:val="24"/>
                <w:szCs w:val="24"/>
                <w:lang w:eastAsia="pt-BR"/>
              </w:rPr>
            </w:pPr>
            <w:proofErr w:type="spellStart"/>
            <w:r w:rsidRPr="00DC2DD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t-BR"/>
              </w:rPr>
              <w:t>Conteúdo</w:t>
            </w:r>
            <w:proofErr w:type="spellEnd"/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: </w:t>
            </w:r>
            <w:proofErr w:type="spellStart"/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Informações</w:t>
            </w:r>
            <w:proofErr w:type="spellEnd"/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qualitativas</w:t>
            </w:r>
            <w:proofErr w:type="spellEnd"/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.</w:t>
            </w:r>
          </w:p>
        </w:tc>
      </w:tr>
      <w:tr w:rsidR="00174FA1" w:rsidRPr="00DC2DD2" w14:paraId="1E7FB186" w14:textId="77777777" w:rsidTr="000F778E">
        <w:tc>
          <w:tcPr>
            <w:tcW w:w="9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6237" w14:textId="77777777" w:rsidR="00174FA1" w:rsidRPr="00DC2DD2" w:rsidRDefault="00174FA1" w:rsidP="000F778E">
            <w:pPr>
              <w:spacing w:after="100" w:afterAutospacing="1"/>
              <w:rPr>
                <w:rFonts w:ascii="Ubuntu" w:eastAsia="Times New Roman" w:hAnsi="Ubuntu"/>
                <w:sz w:val="24"/>
                <w:szCs w:val="24"/>
                <w:lang w:eastAsia="pt-BR"/>
              </w:rPr>
            </w:pPr>
            <w:proofErr w:type="spellStart"/>
            <w:r w:rsidRPr="00DC2DD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t-BR"/>
              </w:rPr>
              <w:t>Frequência</w:t>
            </w:r>
            <w:proofErr w:type="spellEnd"/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: </w:t>
            </w:r>
            <w:proofErr w:type="spellStart"/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Anual</w:t>
            </w:r>
            <w:proofErr w:type="spellEnd"/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.</w:t>
            </w:r>
          </w:p>
        </w:tc>
      </w:tr>
      <w:tr w:rsidR="00174FA1" w:rsidRPr="00EF45C4" w14:paraId="348D0523" w14:textId="77777777" w:rsidTr="000F778E">
        <w:tc>
          <w:tcPr>
            <w:tcW w:w="9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177B" w14:textId="77777777" w:rsidR="00174FA1" w:rsidRPr="00174FA1" w:rsidRDefault="00174FA1" w:rsidP="000F778E">
            <w:pPr>
              <w:spacing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174FA1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Deve ser descrito o papel do conselho de administração (CA), da diretoria da instituição, do diretor para gerenciamento de riscos (CRO) e do comitê de riscos no processo de governança para a identificação, a mensuração, a avaliação, o monitoramento, o reporte, o controle e a mitigação do risco social, do risco ambiental e do risco climático, conforme disposto na Resolução nº 4.557, de 23 de fevereiro de 2017.</w:t>
            </w:r>
          </w:p>
          <w:p w14:paraId="1AF38D32" w14:textId="004CADCB" w:rsidR="00174FA1" w:rsidRPr="00174FA1" w:rsidRDefault="00174FA1" w:rsidP="000F778E">
            <w:pPr>
              <w:spacing w:after="100" w:afterAutospacing="1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A Western Union é regida pelo  </w:t>
            </w:r>
            <w:r w:rsidRPr="00174FA1">
              <w:rPr>
                <w:rFonts w:ascii="Calibri" w:eastAsia="Times New Roman" w:hAnsi="Calibri" w:cs="Calibri"/>
                <w:i/>
                <w:iCs/>
                <w:sz w:val="26"/>
                <w:szCs w:val="26"/>
                <w:lang w:val="pt-BR" w:eastAsia="pt-BR"/>
              </w:rPr>
              <w:t>Princípio da Responsabilidade Social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, através (i) da oferta de serviços que promovem a prosperidade econ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ô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mica, (ii) do estabelecimento de procedimentos e promoção de cultura visando a diversidade social, equidade e inclusão de seus funcionários, clientes e parceiros, e (ii) definição de ações em suas atividades com o intuito de diminuir o impacto ambiental, e pelo </w:t>
            </w:r>
            <w:r w:rsidRPr="00174FA1">
              <w:rPr>
                <w:rFonts w:ascii="Calibri" w:eastAsia="Times New Roman" w:hAnsi="Calibri" w:cs="Calibri"/>
                <w:i/>
                <w:iCs/>
                <w:sz w:val="26"/>
                <w:szCs w:val="26"/>
                <w:lang w:val="pt-BR" w:eastAsia="pt-BR"/>
              </w:rPr>
              <w:t>Princípio da Integridade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, através do estabelecimento de governança e segurança apropriadas na condução de seus negócios e oferta de seus produtos, bem como, na escolha de seus colaboradores, parceiros e fornecedores, entre outros.</w:t>
            </w:r>
          </w:p>
          <w:p w14:paraId="0C7C83E5" w14:textId="7824E9DC" w:rsidR="00174FA1" w:rsidRPr="00174FA1" w:rsidRDefault="00174FA1" w:rsidP="000F778E">
            <w:pPr>
              <w:spacing w:after="100" w:afterAutospacing="1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Para tanto</w:t>
            </w:r>
            <w:r w:rsidR="00E06F29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,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tem a visão de que as melhores práticas e recomendações relacionadas à gov</w:t>
            </w:r>
            <w:r w:rsidR="00E06F29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e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rnança corporativa sejam empregadas na sua atividade e operação, mantendo estrutura de governança compat</w:t>
            </w:r>
            <w:r w:rsidR="00E06F29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í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vel com o seu porte, natureza de seu negócio, complexidade de serviços e produtos oferecidos, bem como as atividades, proces</w:t>
            </w:r>
            <w:r w:rsidR="00E06F29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s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os e sistemas adotados, para assegurar o cumprimento das diretrizes e dos objetivos da 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Política de Risco Social, Ambiental e Climático (“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PRSAC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”)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.</w:t>
            </w:r>
          </w:p>
          <w:p w14:paraId="1FDC9BAB" w14:textId="4D37BE02" w:rsidR="00174FA1" w:rsidRPr="00174FA1" w:rsidRDefault="00174FA1" w:rsidP="000F778E">
            <w:pPr>
              <w:spacing w:after="100" w:afterAutospacing="1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A alta administração da Western Union, apresenta envolvimento com as questões relacionadas à gestão des risco por meio de Comitê de Risco, que é 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o 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foro responsável para tratar os temas relacionados às questões Socia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is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, Ambienta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is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e Climática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s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.</w:t>
            </w:r>
          </w:p>
          <w:p w14:paraId="6D4CC0CA" w14:textId="77777777" w:rsidR="00174FA1" w:rsidRPr="00174FA1" w:rsidRDefault="00174FA1" w:rsidP="000F778E">
            <w:pPr>
              <w:spacing w:after="100" w:afterAutospacing="1"/>
              <w:jc w:val="both"/>
              <w:rPr>
                <w:rFonts w:ascii="Ubuntu" w:eastAsia="Times New Roman" w:hAnsi="Ubuntu"/>
                <w:sz w:val="20"/>
                <w:szCs w:val="20"/>
                <w:lang w:val="pt-BR" w:eastAsia="pt-BR"/>
              </w:rPr>
            </w:pPr>
          </w:p>
        </w:tc>
      </w:tr>
      <w:tr w:rsidR="00174FA1" w:rsidRPr="00DC2DD2" w14:paraId="38F4122D" w14:textId="77777777" w:rsidTr="000F778E">
        <w:tc>
          <w:tcPr>
            <w:tcW w:w="9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DE04" w14:textId="77777777" w:rsidR="00174FA1" w:rsidRPr="00DC2DD2" w:rsidRDefault="00174FA1" w:rsidP="000F778E">
            <w:pPr>
              <w:spacing w:after="100" w:afterAutospacing="1"/>
              <w:rPr>
                <w:rFonts w:ascii="Ubuntu" w:eastAsia="Times New Roman" w:hAnsi="Ubuntu"/>
                <w:sz w:val="24"/>
                <w:szCs w:val="24"/>
                <w:lang w:eastAsia="pt-BR"/>
              </w:rPr>
            </w:pPr>
            <w:proofErr w:type="spellStart"/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Detalhamento</w:t>
            </w:r>
            <w:proofErr w:type="spellEnd"/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 xml:space="preserve"> das </w:t>
            </w:r>
            <w:proofErr w:type="spellStart"/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informações</w:t>
            </w:r>
            <w:proofErr w:type="spellEnd"/>
          </w:p>
        </w:tc>
      </w:tr>
      <w:tr w:rsidR="00174FA1" w:rsidRPr="00EF45C4" w14:paraId="7C9051D8" w14:textId="77777777" w:rsidTr="000F778E"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1035" w14:textId="77777777" w:rsidR="00174FA1" w:rsidRPr="00DC2DD2" w:rsidRDefault="00174FA1" w:rsidP="000F778E">
            <w:pPr>
              <w:spacing w:after="100" w:afterAutospacing="1"/>
              <w:rPr>
                <w:rFonts w:ascii="Ubuntu" w:eastAsia="Times New Roman" w:hAnsi="Ubuntu"/>
                <w:sz w:val="24"/>
                <w:szCs w:val="24"/>
                <w:lang w:eastAsia="pt-BR"/>
              </w:rPr>
            </w:pPr>
          </w:p>
          <w:p w14:paraId="2DFC7C26" w14:textId="77777777" w:rsidR="00174FA1" w:rsidRPr="00DC2DD2" w:rsidRDefault="00174FA1" w:rsidP="000F778E">
            <w:pPr>
              <w:spacing w:after="100" w:afterAutospacing="1"/>
              <w:rPr>
                <w:rFonts w:ascii="Ubuntu" w:eastAsia="Times New Roman" w:hAnsi="Ubuntu"/>
                <w:sz w:val="24"/>
                <w:szCs w:val="24"/>
                <w:lang w:eastAsia="pt-BR"/>
              </w:rPr>
            </w:pPr>
          </w:p>
          <w:p w14:paraId="4A338ECD" w14:textId="77777777" w:rsidR="00174FA1" w:rsidRPr="00DC2DD2" w:rsidRDefault="00174FA1" w:rsidP="000F778E">
            <w:pPr>
              <w:spacing w:after="100" w:afterAutospacing="1"/>
              <w:rPr>
                <w:rFonts w:ascii="Ubuntu" w:eastAsia="Times New Roman" w:hAnsi="Ubuntu"/>
                <w:sz w:val="24"/>
                <w:szCs w:val="24"/>
                <w:lang w:eastAsia="pt-BR"/>
              </w:rPr>
            </w:pPr>
          </w:p>
          <w:p w14:paraId="36FA35E0" w14:textId="77777777" w:rsidR="00174FA1" w:rsidRPr="00DC2DD2" w:rsidRDefault="00174FA1" w:rsidP="000F778E">
            <w:pPr>
              <w:spacing w:after="100" w:afterAutospacing="1"/>
              <w:rPr>
                <w:rFonts w:ascii="Ubuntu" w:eastAsia="Times New Roman" w:hAnsi="Ubuntu"/>
                <w:sz w:val="24"/>
                <w:szCs w:val="24"/>
                <w:lang w:eastAsia="pt-BR"/>
              </w:rPr>
            </w:pPr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(a)</w:t>
            </w:r>
          </w:p>
        </w:tc>
        <w:tc>
          <w:tcPr>
            <w:tcW w:w="8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9F54" w14:textId="77777777" w:rsidR="00174FA1" w:rsidRPr="0016447A" w:rsidRDefault="00174FA1" w:rsidP="000F778E">
            <w:pPr>
              <w:spacing w:after="100" w:afterAutospacing="1"/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16447A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Identificação das instâncias de governança da instituição com atribuições no gerenciamento do risco social, do risco ambiental e do risco climático.</w:t>
            </w:r>
          </w:p>
          <w:p w14:paraId="4B7A21E5" w14:textId="77777777" w:rsidR="00174FA1" w:rsidRPr="0016447A" w:rsidRDefault="00174FA1" w:rsidP="00E5496B">
            <w:pPr>
              <w:spacing w:after="100" w:afterAutospacing="1"/>
              <w:ind w:left="360" w:hanging="360"/>
              <w:jc w:val="both"/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16447A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·       Considerar as instâncias em seus diversos níveis (estratégico, tático, operacional, de controle e de conformidade, nos termos da Resolução nº 4.595, de 28 de agosto de 2017), com destaque para o CA, a diretoria, o CRO, o comitê de riscos, o comitê de auditoria, outros comitês existentes, e unidades de negócio e de gerenciamento de risco.</w:t>
            </w:r>
          </w:p>
          <w:p w14:paraId="277339DD" w14:textId="3464876C" w:rsidR="00174FA1" w:rsidRPr="00174FA1" w:rsidRDefault="00174FA1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A Governança da Western Union Brasil 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(incluindo o Banco Western Union do Brasil S.A. e a Western Union Corretora de Câmbio S.A.) 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para o gerenciamento dos riscos social, ambiental e climático conta com as seguintes instâncias, cada qual com as responsabilidades e atribuições descritas no presente documento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: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</w:t>
            </w:r>
          </w:p>
          <w:p w14:paraId="0A7FADCD" w14:textId="77777777" w:rsidR="00174FA1" w:rsidRDefault="00174FA1" w:rsidP="00174FA1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 w:line="240" w:lineRule="atLeast"/>
              <w:contextualSpacing w:val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2F6544">
              <w:rPr>
                <w:rFonts w:ascii="Calibri" w:hAnsi="Calibri" w:cs="Calibri"/>
                <w:sz w:val="26"/>
                <w:szCs w:val="26"/>
              </w:rPr>
              <w:t>Diretoria</w:t>
            </w:r>
            <w:proofErr w:type="spellEnd"/>
            <w:r w:rsidRPr="002F654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Executiva</w:t>
            </w:r>
            <w:proofErr w:type="spellEnd"/>
          </w:p>
          <w:p w14:paraId="5F3B5522" w14:textId="5D099FC9" w:rsidR="00174FA1" w:rsidRPr="00174FA1" w:rsidRDefault="00174FA1" w:rsidP="00174FA1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 w:line="240" w:lineRule="atLeast"/>
              <w:contextualSpacing w:val="0"/>
              <w:rPr>
                <w:rFonts w:ascii="Calibri" w:hAnsi="Calibri" w:cs="Calibri"/>
                <w:sz w:val="26"/>
                <w:szCs w:val="26"/>
                <w:lang w:val="pt-BR"/>
              </w:rPr>
            </w:pPr>
            <w:r w:rsidRPr="00174FA1">
              <w:rPr>
                <w:rFonts w:ascii="Calibri" w:hAnsi="Calibri" w:cs="Calibri"/>
                <w:sz w:val="26"/>
                <w:szCs w:val="26"/>
                <w:lang w:val="pt-BR"/>
              </w:rPr>
              <w:lastRenderedPageBreak/>
              <w:t>Comitê de Risco</w:t>
            </w:r>
          </w:p>
          <w:p w14:paraId="023DD405" w14:textId="63290C34" w:rsidR="00174FA1" w:rsidRPr="00AB0F8E" w:rsidRDefault="00174FA1" w:rsidP="00174FA1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 w:line="240" w:lineRule="atLeast"/>
              <w:contextualSpacing w:val="0"/>
              <w:rPr>
                <w:rFonts w:ascii="Calibri" w:hAnsi="Calibri" w:cs="Calibri"/>
                <w:sz w:val="26"/>
                <w:szCs w:val="26"/>
                <w:lang w:val="pt-BR"/>
              </w:rPr>
            </w:pPr>
            <w:r w:rsidRPr="00174FA1">
              <w:rPr>
                <w:rFonts w:ascii="Calibri" w:hAnsi="Calibri" w:cs="Calibri"/>
                <w:sz w:val="26"/>
                <w:szCs w:val="26"/>
                <w:lang w:val="pt-BR"/>
              </w:rPr>
              <w:t>Comitê de Compliance</w:t>
            </w:r>
          </w:p>
          <w:p w14:paraId="18FB6F0E" w14:textId="3A8E3385" w:rsidR="00174FA1" w:rsidRPr="00174FA1" w:rsidRDefault="00174FA1" w:rsidP="00174FA1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 w:line="240" w:lineRule="atLeast"/>
              <w:contextualSpacing w:val="0"/>
              <w:rPr>
                <w:rFonts w:ascii="Calibri" w:hAnsi="Calibri" w:cs="Calibri"/>
                <w:sz w:val="26"/>
                <w:szCs w:val="26"/>
                <w:lang w:val="pt-BR"/>
              </w:rPr>
            </w:pPr>
            <w:r w:rsidRPr="00174FA1">
              <w:rPr>
                <w:rFonts w:ascii="Calibri" w:hAnsi="Calibri" w:cs="Calibri"/>
                <w:sz w:val="26"/>
                <w:szCs w:val="26"/>
                <w:lang w:val="pt-BR"/>
              </w:rPr>
              <w:t xml:space="preserve">Comitê de Produtos </w:t>
            </w:r>
          </w:p>
          <w:p w14:paraId="00E01826" w14:textId="6E812414" w:rsidR="00174FA1" w:rsidRPr="00174FA1" w:rsidRDefault="001A65A2" w:rsidP="00174FA1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 w:line="240" w:lineRule="atLeast"/>
              <w:contextualSpacing w:val="0"/>
              <w:rPr>
                <w:rFonts w:ascii="Calibri" w:hAnsi="Calibri" w:cs="Calibri"/>
                <w:sz w:val="26"/>
                <w:szCs w:val="26"/>
                <w:lang w:val="pt-BR"/>
              </w:rPr>
            </w:pPr>
            <w:r>
              <w:rPr>
                <w:rFonts w:ascii="Calibri" w:hAnsi="Calibri" w:cs="Calibri"/>
                <w:sz w:val="26"/>
                <w:szCs w:val="26"/>
                <w:lang w:val="pt-BR"/>
              </w:rPr>
              <w:t>Á</w:t>
            </w:r>
            <w:r w:rsidR="00174FA1" w:rsidRPr="00174FA1">
              <w:rPr>
                <w:rFonts w:ascii="Calibri" w:hAnsi="Calibri" w:cs="Calibri"/>
                <w:sz w:val="26"/>
                <w:szCs w:val="26"/>
                <w:lang w:val="pt-BR"/>
              </w:rPr>
              <w:t>rea de Riscos, Cr</w:t>
            </w:r>
            <w:r w:rsidR="00A67AC4">
              <w:rPr>
                <w:rFonts w:ascii="Calibri" w:hAnsi="Calibri" w:cs="Calibri"/>
                <w:sz w:val="26"/>
                <w:szCs w:val="26"/>
                <w:lang w:val="pt-BR"/>
              </w:rPr>
              <w:t>é</w:t>
            </w:r>
            <w:r w:rsidR="00174FA1" w:rsidRPr="00174FA1">
              <w:rPr>
                <w:rFonts w:ascii="Calibri" w:hAnsi="Calibri" w:cs="Calibri"/>
                <w:sz w:val="26"/>
                <w:szCs w:val="26"/>
                <w:lang w:val="pt-BR"/>
              </w:rPr>
              <w:t>dito e Controles Internos</w:t>
            </w:r>
          </w:p>
          <w:p w14:paraId="300B2CCB" w14:textId="7E6C0716" w:rsidR="00174FA1" w:rsidRPr="001F18A5" w:rsidRDefault="00174FA1" w:rsidP="00174FA1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 w:line="240" w:lineRule="atLeast"/>
              <w:contextualSpacing w:val="0"/>
              <w:rPr>
                <w:rFonts w:ascii="Calibri" w:hAnsi="Calibri" w:cs="Calibri"/>
                <w:sz w:val="26"/>
                <w:szCs w:val="26"/>
                <w:lang w:val="pt-BR"/>
              </w:rPr>
            </w:pPr>
            <w:r w:rsidRPr="00174FA1">
              <w:rPr>
                <w:rFonts w:ascii="Calibri" w:hAnsi="Calibri" w:cs="Calibri"/>
                <w:sz w:val="26"/>
                <w:szCs w:val="26"/>
                <w:lang w:val="pt-BR"/>
              </w:rPr>
              <w:t>Auditoria Interna</w:t>
            </w:r>
          </w:p>
          <w:p w14:paraId="37C22A0F" w14:textId="24F303B7" w:rsidR="00174FA1" w:rsidRPr="001F18A5" w:rsidRDefault="00174FA1" w:rsidP="00174FA1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 w:line="240" w:lineRule="atLeast"/>
              <w:contextualSpacing w:val="0"/>
              <w:rPr>
                <w:rFonts w:ascii="Calibri" w:hAnsi="Calibri" w:cs="Calibri"/>
                <w:sz w:val="26"/>
                <w:szCs w:val="26"/>
                <w:lang w:val="pt-BR"/>
              </w:rPr>
            </w:pPr>
            <w:r w:rsidRPr="00174FA1">
              <w:rPr>
                <w:rFonts w:ascii="Calibri" w:hAnsi="Calibri" w:cs="Calibri"/>
                <w:sz w:val="26"/>
                <w:szCs w:val="26"/>
                <w:lang w:val="pt-BR"/>
              </w:rPr>
              <w:t>Recursos Humanos</w:t>
            </w:r>
          </w:p>
          <w:p w14:paraId="2ED45D46" w14:textId="22D9BEBD" w:rsidR="00174FA1" w:rsidRPr="00E5496B" w:rsidRDefault="00174FA1" w:rsidP="00174FA1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 w:line="240" w:lineRule="atLeast"/>
              <w:contextualSpacing w:val="0"/>
              <w:rPr>
                <w:rFonts w:ascii="Calibri" w:hAnsi="Calibri" w:cs="Calibri"/>
                <w:i/>
                <w:iCs/>
                <w:sz w:val="26"/>
                <w:szCs w:val="26"/>
                <w:lang w:val="pt-BR"/>
              </w:rPr>
            </w:pPr>
            <w:r w:rsidRPr="00174FA1">
              <w:rPr>
                <w:rFonts w:ascii="Calibri" w:hAnsi="Calibri" w:cs="Calibri"/>
                <w:sz w:val="26"/>
                <w:szCs w:val="26"/>
                <w:lang w:val="pt-BR"/>
              </w:rPr>
              <w:t xml:space="preserve">Departamento Global de </w:t>
            </w:r>
            <w:r w:rsidRPr="00E5496B">
              <w:rPr>
                <w:rFonts w:ascii="Calibri" w:hAnsi="Calibri" w:cs="Calibri"/>
                <w:i/>
                <w:iCs/>
                <w:sz w:val="26"/>
                <w:szCs w:val="26"/>
                <w:lang w:val="pt-BR"/>
              </w:rPr>
              <w:t xml:space="preserve">Vendor Risk Assement </w:t>
            </w:r>
          </w:p>
          <w:p w14:paraId="240B2418" w14:textId="1A0D92FB" w:rsidR="00174FA1" w:rsidRPr="001F18A5" w:rsidRDefault="00174FA1" w:rsidP="00174FA1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 w:line="240" w:lineRule="atLeast"/>
              <w:contextualSpacing w:val="0"/>
              <w:rPr>
                <w:rFonts w:ascii="Calibri" w:hAnsi="Calibri" w:cs="Calibri"/>
                <w:sz w:val="26"/>
                <w:szCs w:val="26"/>
                <w:lang w:val="pt-BR"/>
              </w:rPr>
            </w:pPr>
            <w:r w:rsidRPr="001F18A5">
              <w:rPr>
                <w:rFonts w:ascii="Calibri" w:hAnsi="Calibri" w:cs="Calibri"/>
                <w:sz w:val="26"/>
                <w:szCs w:val="26"/>
                <w:lang w:val="pt-BR"/>
              </w:rPr>
              <w:t>Departamento Global de ESG</w:t>
            </w:r>
          </w:p>
          <w:p w14:paraId="5A746224" w14:textId="77777777" w:rsidR="00174FA1" w:rsidRPr="001F18A5" w:rsidRDefault="00174FA1" w:rsidP="00174FA1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 w:line="240" w:lineRule="atLeast"/>
              <w:contextualSpacing w:val="0"/>
              <w:rPr>
                <w:rFonts w:ascii="Calibri" w:hAnsi="Calibri" w:cs="Calibri"/>
                <w:sz w:val="26"/>
                <w:szCs w:val="26"/>
                <w:lang w:val="pt-BR"/>
              </w:rPr>
            </w:pPr>
            <w:r w:rsidRPr="001F18A5">
              <w:rPr>
                <w:rFonts w:ascii="Calibri" w:hAnsi="Calibri" w:cs="Calibri"/>
                <w:sz w:val="26"/>
                <w:szCs w:val="26"/>
                <w:lang w:val="pt-BR"/>
              </w:rPr>
              <w:t>Áreas responsáveis por cada risco identificado / monitorado</w:t>
            </w:r>
          </w:p>
          <w:p w14:paraId="3DE5EC79" w14:textId="77777777" w:rsidR="00174FA1" w:rsidRPr="001F18A5" w:rsidRDefault="00174FA1" w:rsidP="000F778E">
            <w:pPr>
              <w:spacing w:line="240" w:lineRule="atLeast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38ADBF4A" w14:textId="020F2C2E" w:rsidR="00174FA1" w:rsidRPr="00174FA1" w:rsidRDefault="00174FA1" w:rsidP="00E5496B">
            <w:pPr>
              <w:jc w:val="both"/>
              <w:rPr>
                <w:rFonts w:ascii="Ubuntu" w:eastAsia="Times New Roman" w:hAnsi="Ubuntu"/>
                <w:sz w:val="20"/>
                <w:szCs w:val="20"/>
                <w:lang w:val="pt-BR" w:eastAsia="pt-BR"/>
              </w:rPr>
            </w:pPr>
            <w:r w:rsidRPr="001F18A5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OBS: A Western Union Brasil não possui comitê de auditoria, nem Conselho de Administração, 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haja vista que não há obrigatoriedade regulatória local e, atualmente, </w:t>
            </w:r>
            <w:r w:rsidRPr="001F18A5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essas funções são supridas pelas estruturas globais da Matriz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.</w:t>
            </w:r>
          </w:p>
        </w:tc>
      </w:tr>
      <w:tr w:rsidR="00174FA1" w:rsidRPr="00EF45C4" w14:paraId="1C17C0C5" w14:textId="77777777" w:rsidTr="000F778E"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0D51D" w14:textId="77777777" w:rsidR="00174FA1" w:rsidRPr="00174FA1" w:rsidRDefault="00174FA1" w:rsidP="00E5496B">
            <w:pPr>
              <w:spacing w:after="100" w:afterAutospacing="1"/>
              <w:jc w:val="both"/>
              <w:rPr>
                <w:rFonts w:ascii="Ubuntu" w:eastAsia="Times New Roman" w:hAnsi="Ubuntu"/>
                <w:sz w:val="24"/>
                <w:szCs w:val="24"/>
                <w:lang w:val="pt-BR" w:eastAsia="pt-BR"/>
              </w:rPr>
            </w:pPr>
          </w:p>
          <w:p w14:paraId="001C86F1" w14:textId="77777777" w:rsidR="00174FA1" w:rsidRPr="00DC2DD2" w:rsidRDefault="00174FA1" w:rsidP="00E5496B">
            <w:pPr>
              <w:spacing w:after="100" w:afterAutospacing="1"/>
              <w:jc w:val="both"/>
              <w:rPr>
                <w:rFonts w:ascii="Ubuntu" w:eastAsia="Times New Roman" w:hAnsi="Ubuntu"/>
                <w:sz w:val="24"/>
                <w:szCs w:val="24"/>
                <w:lang w:eastAsia="pt-BR"/>
              </w:rPr>
            </w:pPr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(b)</w:t>
            </w:r>
          </w:p>
        </w:tc>
        <w:tc>
          <w:tcPr>
            <w:tcW w:w="8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7103" w14:textId="0FC2AFC1" w:rsidR="00174FA1" w:rsidRPr="001A65A2" w:rsidRDefault="00174FA1" w:rsidP="00E5496B">
            <w:pPr>
              <w:jc w:val="both"/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sz w:val="20"/>
                <w:szCs w:val="20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sz w:val="20"/>
                <w:szCs w:val="20"/>
                <w:lang w:val="pt-BR" w:eastAsia="pt-BR"/>
              </w:rPr>
              <w:t xml:space="preserve">Descrição das responsabilidades atribuídas às instâncias identificadas no item (a), e do </w:t>
            </w:r>
            <w:r w:rsidR="001A65A2"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sz w:val="20"/>
                <w:szCs w:val="20"/>
                <w:lang w:val="pt-BR" w:eastAsia="pt-BR"/>
              </w:rPr>
              <w:t>r</w:t>
            </w:r>
            <w:r w:rsidRPr="001A65A2"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sz w:val="20"/>
                <w:szCs w:val="20"/>
                <w:lang w:val="pt-BR" w:eastAsia="pt-BR"/>
              </w:rPr>
              <w:t>elacionamento entre elas.</w:t>
            </w:r>
          </w:p>
          <w:p w14:paraId="16C20269" w14:textId="77777777" w:rsidR="00CA46AD" w:rsidRPr="001A65A2" w:rsidRDefault="00CA46AD" w:rsidP="00E5496B">
            <w:pPr>
              <w:jc w:val="both"/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sz w:val="20"/>
                <w:szCs w:val="20"/>
                <w:lang w:val="pt-BR" w:eastAsia="pt-BR"/>
              </w:rPr>
            </w:pPr>
          </w:p>
          <w:p w14:paraId="58097966" w14:textId="3C9E4E19" w:rsidR="00174FA1" w:rsidRPr="001A65A2" w:rsidRDefault="00174FA1" w:rsidP="00E5496B">
            <w:pPr>
              <w:ind w:left="320"/>
              <w:jc w:val="both"/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sz w:val="20"/>
                <w:szCs w:val="20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sz w:val="20"/>
                <w:szCs w:val="20"/>
                <w:lang w:val="pt-BR" w:eastAsia="pt-BR"/>
              </w:rPr>
              <w:t>Considerar, entre as atribuições, as formas de controle, a delegação de autoridade e a divisão de responsabilidades.</w:t>
            </w:r>
          </w:p>
          <w:p w14:paraId="26873B58" w14:textId="77777777" w:rsidR="00CA46AD" w:rsidRDefault="00CA46AD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7E832933" w14:textId="58D961BB" w:rsidR="00174FA1" w:rsidRPr="001A65A2" w:rsidRDefault="00174FA1" w:rsidP="00E5496B">
            <w:pPr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  <w:t>Diretoria Executiva</w:t>
            </w:r>
          </w:p>
          <w:p w14:paraId="08D07FFE" w14:textId="2CFC74D7" w:rsidR="00174FA1" w:rsidRPr="00C21620" w:rsidRDefault="00174FA1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Compete à Diretoria:</w:t>
            </w:r>
          </w:p>
          <w:p w14:paraId="41CAED7E" w14:textId="52871171" w:rsidR="00174FA1" w:rsidRPr="00C21620" w:rsidRDefault="00174FA1" w:rsidP="00E5496B">
            <w:pPr>
              <w:pStyle w:val="ListParagraph"/>
              <w:numPr>
                <w:ilvl w:val="0"/>
                <w:numId w:val="17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Aprovar e revisar a PRSA, com o auxílio do(a) C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hief 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R</w:t>
            </w:r>
            <w:r w:rsidR="00A67AC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isk 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O</w:t>
            </w:r>
            <w:r w:rsidR="007346CF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fiicer</w:t>
            </w:r>
            <w:r w:rsidR="00B5144E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- CRO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e do comitê de Riscos;</w:t>
            </w:r>
          </w:p>
          <w:p w14:paraId="2105D9C9" w14:textId="4A9D80F1" w:rsidR="00174FA1" w:rsidRPr="00C21620" w:rsidRDefault="00174FA1" w:rsidP="00E5496B">
            <w:pPr>
              <w:pStyle w:val="ListParagraph"/>
              <w:numPr>
                <w:ilvl w:val="0"/>
                <w:numId w:val="17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Assegurar a aderência da instituição à PRSAC e às ações com vistas à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sua efetividade;</w:t>
            </w:r>
          </w:p>
          <w:p w14:paraId="7880B3C8" w14:textId="77777777" w:rsidR="00174FA1" w:rsidRPr="00C21620" w:rsidRDefault="00174FA1" w:rsidP="00E5496B">
            <w:pPr>
              <w:pStyle w:val="ListParagraph"/>
              <w:numPr>
                <w:ilvl w:val="0"/>
                <w:numId w:val="17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Assegura a compatibilidade e a integração da PRSAC às demais políticas estabelecidas pela instituição;</w:t>
            </w:r>
          </w:p>
          <w:p w14:paraId="7C7DEF99" w14:textId="4F40B46F" w:rsidR="00174FA1" w:rsidRPr="00C21620" w:rsidRDefault="00174FA1" w:rsidP="00E5496B">
            <w:pPr>
              <w:pStyle w:val="ListParagraph"/>
              <w:numPr>
                <w:ilvl w:val="0"/>
                <w:numId w:val="17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Assegurar a correção tempestiva de deficiências relacionadas à PRSAC</w:t>
            </w:r>
            <w:r w:rsidR="00B5144E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;</w:t>
            </w:r>
          </w:p>
          <w:p w14:paraId="065DA8D0" w14:textId="77777777" w:rsidR="00174FA1" w:rsidRPr="00C21620" w:rsidRDefault="00174FA1" w:rsidP="00E5496B">
            <w:pPr>
              <w:pStyle w:val="ListParagraph"/>
              <w:numPr>
                <w:ilvl w:val="0"/>
                <w:numId w:val="17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Assegurar que a estrutura remuneratória adotada pela instituição não incentive comportamento incompatíveis com a PRSAC; e</w:t>
            </w:r>
          </w:p>
          <w:p w14:paraId="5221DA26" w14:textId="77777777" w:rsidR="00174FA1" w:rsidRDefault="00174FA1" w:rsidP="00E5496B">
            <w:pPr>
              <w:pStyle w:val="ListParagraph"/>
              <w:numPr>
                <w:ilvl w:val="0"/>
                <w:numId w:val="17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Promover a disseminação interna da PRSAC e das ações com vistas à sua efetividade.</w:t>
            </w:r>
          </w:p>
          <w:p w14:paraId="1D5B9D3E" w14:textId="77777777" w:rsidR="00A61DED" w:rsidRDefault="00A61DED" w:rsidP="00E5496B">
            <w:pPr>
              <w:spacing w:before="100" w:beforeAutospacing="1" w:afterAutospacing="1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5216FDF4" w14:textId="77777777" w:rsidR="00A61DED" w:rsidRDefault="00A61DED" w:rsidP="00E5496B">
            <w:pPr>
              <w:spacing w:before="100" w:beforeAutospacing="1" w:afterAutospacing="1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7FFAFA7E" w14:textId="77777777" w:rsidR="00A61DED" w:rsidRDefault="00A61DED" w:rsidP="00E5496B">
            <w:pPr>
              <w:spacing w:before="100" w:beforeAutospacing="1" w:afterAutospacing="1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24DE4D9D" w14:textId="77777777" w:rsidR="00A61DED" w:rsidRDefault="00A61DED" w:rsidP="00E5496B">
            <w:pPr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</w:p>
          <w:p w14:paraId="77BAD28C" w14:textId="4C7E5060" w:rsidR="00174FA1" w:rsidRPr="001A65A2" w:rsidRDefault="00174FA1" w:rsidP="00E5496B">
            <w:pPr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  <w:lastRenderedPageBreak/>
              <w:t>CRO</w:t>
            </w:r>
          </w:p>
          <w:p w14:paraId="552C3088" w14:textId="6B51FF03" w:rsidR="00174FA1" w:rsidRPr="00C21620" w:rsidRDefault="00174FA1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O(a) CRO </w:t>
            </w:r>
            <w:r w:rsidR="00B5144E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indicado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(a) no Unicad será responsável pelo Risco Social, Ambiental e Climático</w:t>
            </w:r>
            <w:r w:rsidR="00B5144E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(“RSAC”)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para Western Union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Brasil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, assumindo as seguintes responsabilidades:</w:t>
            </w:r>
          </w:p>
          <w:p w14:paraId="1B4EABFF" w14:textId="1C3271BA" w:rsidR="00174FA1" w:rsidRPr="00C21620" w:rsidRDefault="00174FA1" w:rsidP="00E5496B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Prestação de subsídio e participação no processo de tomada de decisões relacionadas ao estabelecimento e à revisão da PRSAC, auxiliando a Diretoria da Western Union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Brasil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;</w:t>
            </w:r>
          </w:p>
          <w:p w14:paraId="34292044" w14:textId="77777777" w:rsidR="00174FA1" w:rsidRPr="00C21620" w:rsidRDefault="00174FA1" w:rsidP="00E5496B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Implementação de ações com vistas à efetividade da PRSAC;</w:t>
            </w:r>
          </w:p>
          <w:p w14:paraId="28C7A73F" w14:textId="32999082" w:rsidR="00174FA1" w:rsidRPr="00C21620" w:rsidRDefault="00174FA1" w:rsidP="00E5496B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Monitoramento e avaliação das ações 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i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mplementadas;</w:t>
            </w:r>
          </w:p>
          <w:p w14:paraId="0E67EDDD" w14:textId="77777777" w:rsidR="00174FA1" w:rsidRPr="00C21620" w:rsidRDefault="00174FA1" w:rsidP="00E5496B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Aperfeiçoamento das ações implementadas, quando identificadas eventuais deficiências; e</w:t>
            </w:r>
          </w:p>
          <w:p w14:paraId="441CDFD2" w14:textId="4849ABCF" w:rsidR="00174FA1" w:rsidRPr="00C21620" w:rsidRDefault="00174FA1" w:rsidP="00E5496B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Divulgação adequada e fidedigna das informações de que trata o art. 10 das Resolução 4.945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.</w:t>
            </w:r>
          </w:p>
          <w:p w14:paraId="22C35F65" w14:textId="77777777" w:rsidR="00174FA1" w:rsidRPr="00C21620" w:rsidRDefault="00174FA1" w:rsidP="00E5496B">
            <w:pPr>
              <w:ind w:left="360" w:hanging="36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03596BCF" w14:textId="37F4EE62" w:rsidR="00174FA1" w:rsidRPr="001A65A2" w:rsidRDefault="00174FA1" w:rsidP="00E5496B">
            <w:pPr>
              <w:ind w:left="360" w:hanging="360"/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  <w:t>Comitê de Risco</w:t>
            </w:r>
          </w:p>
          <w:p w14:paraId="18899907" w14:textId="0FFDEB42" w:rsidR="00174FA1" w:rsidRPr="00C21620" w:rsidRDefault="00174FA1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O Comitê de Risco é o orgão respon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s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ável pela supervisão do RSAC e da 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PRSAC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e o funcionamento do Comitê está detalhado no “estatuto do Comitê de Risco”.</w:t>
            </w:r>
          </w:p>
          <w:p w14:paraId="71C05730" w14:textId="77777777" w:rsidR="00174FA1" w:rsidRPr="00C21620" w:rsidRDefault="00174FA1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7ADDCEBC" w14:textId="4E3F5CE9" w:rsidR="00174FA1" w:rsidRPr="001A65A2" w:rsidRDefault="00174FA1" w:rsidP="00E5496B">
            <w:pPr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  <w:t>Comitê de Compliance</w:t>
            </w:r>
          </w:p>
          <w:p w14:paraId="2BEC498A" w14:textId="39F907C4" w:rsidR="002A1794" w:rsidRPr="00C21620" w:rsidRDefault="002A1794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O Comitê de Compliance, PLD e Ética tem por objetivo assegurar a implantação do Programa Compliance, Prevenção e Combate à Lavagem de Dinheiro e o Código de Ética da Instituição, discutindo os assuntos relacionados e necessários para a sua plena implementação</w:t>
            </w:r>
            <w:r w:rsidR="00884579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e monitoramento de risco de ESG de corresponentes.</w:t>
            </w:r>
          </w:p>
          <w:p w14:paraId="4FD99551" w14:textId="77777777" w:rsidR="001F18A5" w:rsidRPr="00C21620" w:rsidRDefault="001F18A5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2A50FDB5" w14:textId="6FDC3B1F" w:rsidR="00174FA1" w:rsidRPr="001A65A2" w:rsidRDefault="00174FA1" w:rsidP="00E5496B">
            <w:pPr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  <w:t>Comitê de Produtos</w:t>
            </w:r>
          </w:p>
          <w:p w14:paraId="3EAE6947" w14:textId="4E9BF2B4" w:rsidR="00473987" w:rsidRPr="00C21620" w:rsidRDefault="00EA4AD4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O Comitê de Produtos é o orgão respon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s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ável pela supervisão </w:t>
            </w:r>
            <w:r w:rsidR="00CA3D44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de novos</w:t>
            </w:r>
            <w:r w:rsidR="00D964A9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Canais </w:t>
            </w:r>
            <w:r w:rsidR="00073E3F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e </w:t>
            </w:r>
            <w:r w:rsidR="00CA3D44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produtos com avaliação direta do impacto de ESG,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</w:t>
            </w:r>
            <w:r w:rsidR="00CA3D44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 respo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n</w:t>
            </w:r>
            <w:r w:rsidR="00CA3D44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sabilidade 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do Comitê está detalhad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no “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E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statuto do Comitê de </w:t>
            </w:r>
            <w:r w:rsidR="00CA3D44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Produtos”.</w:t>
            </w:r>
          </w:p>
          <w:p w14:paraId="0021C287" w14:textId="77777777" w:rsidR="00174FA1" w:rsidRPr="00C21620" w:rsidRDefault="00174FA1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2A306A3E" w14:textId="6ED5045A" w:rsidR="00174FA1" w:rsidRPr="001A65A2" w:rsidRDefault="00174FA1" w:rsidP="00E5496B">
            <w:pPr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  <w:t>Área de Risco, Crédito e Controles Internos</w:t>
            </w:r>
          </w:p>
          <w:p w14:paraId="1E68A505" w14:textId="77777777" w:rsidR="00174FA1" w:rsidRPr="00C21620" w:rsidRDefault="00174FA1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 área de Riscos, Crédito e Controles internos é responsável:</w:t>
            </w:r>
          </w:p>
          <w:p w14:paraId="2F8F602C" w14:textId="39374968" w:rsidR="00174FA1" w:rsidRPr="00C21620" w:rsidRDefault="00174FA1" w:rsidP="00E5496B">
            <w:pPr>
              <w:pStyle w:val="ListParagraph"/>
              <w:numPr>
                <w:ilvl w:val="0"/>
                <w:numId w:val="15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Pela elaboração da 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PRSAC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e pela elaboração dos respectivos planos de ação;</w:t>
            </w:r>
          </w:p>
          <w:p w14:paraId="2A694A08" w14:textId="4FBAC818" w:rsidR="00174FA1" w:rsidRPr="00C21620" w:rsidRDefault="00174FA1" w:rsidP="00E5496B">
            <w:pPr>
              <w:pStyle w:val="ListParagraph"/>
              <w:numPr>
                <w:ilvl w:val="0"/>
                <w:numId w:val="15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Pela elaboração das matrizes de risco dos produtos e serviços oferecidos pela Western Union Brasil;</w:t>
            </w:r>
          </w:p>
          <w:p w14:paraId="2449EAC7" w14:textId="77777777" w:rsidR="00174FA1" w:rsidRPr="00C21620" w:rsidRDefault="00174FA1" w:rsidP="00E5496B">
            <w:pPr>
              <w:pStyle w:val="ListParagraph"/>
              <w:numPr>
                <w:ilvl w:val="0"/>
                <w:numId w:val="15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lastRenderedPageBreak/>
              <w:t>Pela elaboração das matrizes de risco dos prestadores de serviços e parceiros;</w:t>
            </w:r>
          </w:p>
          <w:p w14:paraId="42C08DEA" w14:textId="77777777" w:rsidR="00174FA1" w:rsidRPr="00C21620" w:rsidRDefault="00174FA1" w:rsidP="00E5496B">
            <w:pPr>
              <w:pStyle w:val="ListParagraph"/>
              <w:numPr>
                <w:ilvl w:val="0"/>
                <w:numId w:val="15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Pelo monitoramento dos procedimentos relacionados à PRSAC; e</w:t>
            </w:r>
          </w:p>
          <w:p w14:paraId="701117A2" w14:textId="77777777" w:rsidR="00174FA1" w:rsidRPr="00C21620" w:rsidRDefault="00174FA1" w:rsidP="00E5496B">
            <w:pPr>
              <w:pStyle w:val="ListParagraph"/>
              <w:numPr>
                <w:ilvl w:val="0"/>
                <w:numId w:val="15"/>
              </w:numPr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Pela inclusão das informações relativas ao RSAC da Western Union na RAS.</w:t>
            </w:r>
          </w:p>
          <w:p w14:paraId="0AE03D05" w14:textId="77777777" w:rsidR="007D018E" w:rsidRPr="00C21620" w:rsidRDefault="007D018E" w:rsidP="00E5496B">
            <w:pPr>
              <w:pStyle w:val="ListParagraph"/>
              <w:spacing w:before="100" w:beforeAutospacing="1" w:afterAutospacing="1"/>
              <w:contextualSpacing w:val="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5AC48295" w14:textId="7D14E6B4" w:rsidR="00174FA1" w:rsidRPr="001A65A2" w:rsidRDefault="00174FA1" w:rsidP="00E5496B">
            <w:pPr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  <w:t>Auditoria Interna</w:t>
            </w:r>
          </w:p>
          <w:p w14:paraId="3FD27B26" w14:textId="77777777" w:rsidR="00174FA1" w:rsidRPr="00C21620" w:rsidRDefault="00174FA1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 auditoria interna é responsável pela avaliação periódica dos processos relativos ao estabelecimento da PRSAC e à implementação de ações com vistas à sua efetividade.</w:t>
            </w:r>
          </w:p>
          <w:p w14:paraId="08CB45A9" w14:textId="77777777" w:rsidR="00174FA1" w:rsidRPr="00C21620" w:rsidRDefault="00174FA1" w:rsidP="00E5496B">
            <w:pPr>
              <w:spacing w:line="240" w:lineRule="atLeast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793C2A99" w14:textId="25E38AE4" w:rsidR="00174FA1" w:rsidRPr="001A65A2" w:rsidRDefault="00174FA1" w:rsidP="00E5496B">
            <w:pPr>
              <w:spacing w:line="240" w:lineRule="atLeast"/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  <w:t>Recursos Humanos</w:t>
            </w:r>
          </w:p>
          <w:p w14:paraId="773C7CCC" w14:textId="597C6733" w:rsidR="00504F3F" w:rsidRPr="00C21620" w:rsidRDefault="00504F3F" w:rsidP="00E5496B">
            <w:pPr>
              <w:spacing w:line="240" w:lineRule="atLeast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A área de Recursos é responsável </w:t>
            </w:r>
            <w:r w:rsidR="00F14A56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por promover a 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estratégia Global de Diversidade,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equidade e inclusão</w:t>
            </w:r>
            <w:r w:rsidR="00C21620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.</w:t>
            </w:r>
          </w:p>
          <w:p w14:paraId="4DCE9E7A" w14:textId="77777777" w:rsidR="00F14A56" w:rsidRPr="00C21620" w:rsidRDefault="00F14A56" w:rsidP="00E5496B">
            <w:pPr>
              <w:spacing w:line="240" w:lineRule="atLeast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143B375B" w14:textId="25541E47" w:rsidR="00174FA1" w:rsidRPr="001A65A2" w:rsidRDefault="00174FA1" w:rsidP="00E5496B">
            <w:pPr>
              <w:spacing w:line="240" w:lineRule="atLeast"/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  <w:t>Departamento Global de Vendor Risk Assement</w:t>
            </w:r>
          </w:p>
          <w:p w14:paraId="02196246" w14:textId="6DD5828E" w:rsidR="00CF1D94" w:rsidRPr="00C21620" w:rsidRDefault="002C354C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O P</w:t>
            </w:r>
            <w:r w:rsidR="00CF1D94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rocesso de avaliação de risco 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e </w:t>
            </w:r>
            <w:r w:rsidR="00CF1D94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de </w:t>
            </w:r>
            <w:r w:rsidR="00CF1D94" w:rsidRPr="00E5496B">
              <w:rPr>
                <w:rFonts w:ascii="Calibri" w:eastAsia="Times New Roman" w:hAnsi="Calibri" w:cs="Calibri"/>
                <w:i/>
                <w:iCs/>
                <w:sz w:val="26"/>
                <w:szCs w:val="26"/>
                <w:lang w:val="pt-BR" w:eastAsia="pt-BR"/>
              </w:rPr>
              <w:t>due diligence</w:t>
            </w:r>
            <w:r w:rsidR="00CF1D94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do fornecedor é realizado pelo 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time de </w:t>
            </w:r>
            <w:r w:rsidR="00CF1D94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Vendor Risk Management (VRM).</w:t>
            </w:r>
            <w:r w:rsidR="00073E3F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</w:t>
            </w:r>
            <w:r w:rsidR="00CF1D94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O processo inclui análise e preenchimento de informações para avaliar o risco inerente ao fornecedor,</w:t>
            </w:r>
            <w:r w:rsidR="00A3379C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</w:t>
            </w:r>
            <w:r w:rsidR="00CF1D94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o ambiente de controle e o risco residual para a Western Union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Brasil</w:t>
            </w:r>
            <w:r w:rsidR="00A3379C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.</w:t>
            </w:r>
          </w:p>
          <w:p w14:paraId="3EC756A1" w14:textId="77777777" w:rsidR="00174FA1" w:rsidRPr="00C21620" w:rsidRDefault="00174FA1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00533DA7" w14:textId="271A4E47" w:rsidR="00174FA1" w:rsidRPr="001A65A2" w:rsidRDefault="00174FA1" w:rsidP="00E5496B">
            <w:pPr>
              <w:spacing w:line="240" w:lineRule="atLeast"/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  <w:t>Departamento Global de ESG</w:t>
            </w:r>
          </w:p>
          <w:p w14:paraId="500BA8F4" w14:textId="79EA7856" w:rsidR="00127026" w:rsidRPr="00C21620" w:rsidRDefault="00127026" w:rsidP="00E5496B">
            <w:pPr>
              <w:spacing w:line="240" w:lineRule="atLeast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A Western Union possui estrutura Global de ESG para </w:t>
            </w:r>
            <w:r w:rsidR="008511BF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avaliação dos nossos objetivos ambientais,</w:t>
            </w:r>
            <w:r w:rsidR="00073E3F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</w:t>
            </w:r>
            <w:r w:rsidR="008511BF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Estratégia Social e de Governança</w:t>
            </w:r>
            <w:r w:rsidR="00830195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alinhado a </w:t>
            </w:r>
            <w:r w:rsidR="002C6119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nossa estratégia de negócios</w:t>
            </w:r>
            <w:r w:rsidR="007D018E"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.</w:t>
            </w:r>
          </w:p>
          <w:p w14:paraId="1470D702" w14:textId="77777777" w:rsidR="00174FA1" w:rsidRPr="00C21620" w:rsidRDefault="00174FA1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47F52911" w14:textId="3739D462" w:rsidR="00174FA1" w:rsidRPr="001A65A2" w:rsidRDefault="00174FA1" w:rsidP="00E5496B">
            <w:pPr>
              <w:jc w:val="both"/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</w:pPr>
            <w:r w:rsidRPr="001A65A2">
              <w:rPr>
                <w:rFonts w:ascii="Calibri" w:eastAsia="Times New Roman" w:hAnsi="Calibri" w:cs="Calibri"/>
                <w:b/>
                <w:bCs/>
                <w:sz w:val="26"/>
                <w:szCs w:val="26"/>
                <w:u w:val="single"/>
                <w:lang w:val="pt-BR" w:eastAsia="pt-BR"/>
              </w:rPr>
              <w:t>Departamentos internos</w:t>
            </w:r>
          </w:p>
          <w:p w14:paraId="23354202" w14:textId="2A059E65" w:rsidR="00174FA1" w:rsidRPr="00C21620" w:rsidRDefault="00174FA1" w:rsidP="00E5496B">
            <w:pPr>
              <w:spacing w:after="100" w:afterAutospacing="1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Cada uma das áreas da Western Union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Brasil</w:t>
            </w:r>
            <w:r w:rsidRPr="00C21620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é responsável por observar o disposto na PRSAC e respectivos procedimentos e atividades sob sua responsabilidade.</w:t>
            </w:r>
          </w:p>
          <w:p w14:paraId="1277E1A2" w14:textId="77777777" w:rsidR="00174FA1" w:rsidRPr="00C21620" w:rsidRDefault="00174FA1" w:rsidP="00E5496B">
            <w:pPr>
              <w:spacing w:after="100" w:afterAutospacing="1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</w:tc>
      </w:tr>
      <w:tr w:rsidR="00174FA1" w:rsidRPr="00EF45C4" w14:paraId="5B5F4BFB" w14:textId="77777777" w:rsidTr="000F778E"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B12E4" w14:textId="77777777" w:rsidR="00174FA1" w:rsidRPr="00DC2DD2" w:rsidRDefault="00174FA1" w:rsidP="00E5496B">
            <w:pPr>
              <w:spacing w:after="100" w:afterAutospacing="1"/>
              <w:jc w:val="both"/>
              <w:rPr>
                <w:rFonts w:ascii="Ubuntu" w:eastAsia="Times New Roman" w:hAnsi="Ubuntu"/>
                <w:sz w:val="24"/>
                <w:szCs w:val="24"/>
                <w:lang w:eastAsia="pt-BR"/>
              </w:rPr>
            </w:pPr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lastRenderedPageBreak/>
              <w:t>(c)</w:t>
            </w:r>
          </w:p>
        </w:tc>
        <w:tc>
          <w:tcPr>
            <w:tcW w:w="8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A00E" w14:textId="77777777" w:rsidR="00174FA1" w:rsidRPr="00174FA1" w:rsidRDefault="00174FA1" w:rsidP="00E5496B">
            <w:pPr>
              <w:spacing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174FA1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Processo e frequência de recebimento, pelo CA e, na ausência deste, pela diretoria, de informações relativas ao risco social, ao risco ambiental e ao risco climático, tendo em vista o descrito no item (b).</w:t>
            </w:r>
          </w:p>
          <w:p w14:paraId="13A8E9CB" w14:textId="75FE4D53" w:rsidR="00174FA1" w:rsidRPr="00174FA1" w:rsidRDefault="00174FA1" w:rsidP="00E5496B">
            <w:pPr>
              <w:spacing w:after="100" w:afterAutospacing="1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A Western Union 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Brasil 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possui estrutura de governança para a identificação, monitoramento, gerenciamento e reporte dos riscos social, ambiental e climático, e as respectivas informações são disponibilizadas à Diretoria da Western Union</w:t>
            </w:r>
            <w:r w:rsidR="00A61DED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Brasil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 nos respectivos comitês de, de Compliance e de </w:t>
            </w:r>
            <w:r w:rsidR="00A61DED"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Produto</w:t>
            </w:r>
            <w:r w:rsidRPr="00174FA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, bem como, através dos relatórios e reportes regulatórios, dentre eles a análise interna de risco e relatório de efetividade, e através de reportes tempestivos conforme o assunto e a necessidade.</w:t>
            </w:r>
          </w:p>
          <w:p w14:paraId="521DC6C5" w14:textId="77777777" w:rsidR="00174FA1" w:rsidRPr="00174FA1" w:rsidRDefault="00174FA1" w:rsidP="00E5496B">
            <w:pPr>
              <w:spacing w:after="100" w:afterAutospacing="1"/>
              <w:jc w:val="both"/>
              <w:rPr>
                <w:rFonts w:ascii="Ubuntu" w:eastAsia="Times New Roman" w:hAnsi="Ubuntu"/>
                <w:sz w:val="26"/>
                <w:szCs w:val="26"/>
                <w:lang w:val="pt-BR" w:eastAsia="pt-BR"/>
              </w:rPr>
            </w:pPr>
          </w:p>
        </w:tc>
      </w:tr>
      <w:tr w:rsidR="00174FA1" w:rsidRPr="00EF45C4" w14:paraId="06CD44C4" w14:textId="77777777" w:rsidTr="000F778E"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C2E8" w14:textId="77777777" w:rsidR="00174FA1" w:rsidRPr="00DC2DD2" w:rsidRDefault="00174FA1" w:rsidP="00E5496B">
            <w:pPr>
              <w:spacing w:after="100" w:afterAutospacing="1"/>
              <w:jc w:val="both"/>
              <w:rPr>
                <w:rFonts w:ascii="Ubuntu" w:eastAsia="Times New Roman" w:hAnsi="Ubuntu"/>
                <w:sz w:val="24"/>
                <w:szCs w:val="24"/>
                <w:lang w:eastAsia="pt-BR"/>
              </w:rPr>
            </w:pPr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lastRenderedPageBreak/>
              <w:t>(d)</w:t>
            </w:r>
          </w:p>
        </w:tc>
        <w:tc>
          <w:tcPr>
            <w:tcW w:w="8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C3F9C" w14:textId="77777777" w:rsidR="00174FA1" w:rsidRPr="00174FA1" w:rsidRDefault="00174FA1" w:rsidP="00E5496B">
            <w:pPr>
              <w:jc w:val="both"/>
              <w:rPr>
                <w:rFonts w:ascii="Ubuntu" w:eastAsia="Times New Roman" w:hAnsi="Ubuntu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174FA1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Descrição dos critérios utilizados pelo CA e, na ausência deste, pela diretoria para assegurar a consideração do risco social, do risco ambiental e do risco climático, quando relevantes, nos processos de aprovação e revisão:</w:t>
            </w:r>
          </w:p>
          <w:p w14:paraId="01910AEF" w14:textId="409D5D05" w:rsidR="00174FA1" w:rsidRPr="0065089C" w:rsidRDefault="00174FA1" w:rsidP="00E549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Ubuntu" w:eastAsia="Times New Roman" w:hAnsi="Ubuntu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65089C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dos níveis de apetite por riscos da instituição;</w:t>
            </w:r>
          </w:p>
          <w:p w14:paraId="345D1C56" w14:textId="01C71AA9" w:rsidR="00174FA1" w:rsidRPr="0065089C" w:rsidRDefault="00174FA1" w:rsidP="00E549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Ubuntu" w:eastAsia="Times New Roman" w:hAnsi="Ubuntu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65089C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das políticas, estratégias e limites de gerenciamento de riscos e de gerenciamento de capital;</w:t>
            </w:r>
          </w:p>
          <w:p w14:paraId="7314DAD8" w14:textId="1BE010D2" w:rsidR="00174FA1" w:rsidRPr="0065089C" w:rsidRDefault="00174FA1" w:rsidP="00E549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Ubuntu" w:eastAsia="Times New Roman" w:hAnsi="Ubuntu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65089C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do programa de testes de estresse;</w:t>
            </w:r>
          </w:p>
          <w:p w14:paraId="021C8061" w14:textId="13A8F9EE" w:rsidR="00174FA1" w:rsidRPr="0065089C" w:rsidRDefault="00174FA1" w:rsidP="00E549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Ubuntu" w:eastAsia="Times New Roman" w:hAnsi="Ubuntu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65089C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das políticas para a gestão de continuidade de negócios;</w:t>
            </w:r>
          </w:p>
          <w:p w14:paraId="1A75B453" w14:textId="1B6C5C48" w:rsidR="00174FA1" w:rsidRPr="0065089C" w:rsidRDefault="00174FA1" w:rsidP="00E549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Ubuntu" w:eastAsia="Times New Roman" w:hAnsi="Ubuntu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65089C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do plano de contingência de liquidez;</w:t>
            </w:r>
          </w:p>
          <w:p w14:paraId="309398A4" w14:textId="0C1BC6FB" w:rsidR="00174FA1" w:rsidRPr="0065089C" w:rsidRDefault="00174FA1" w:rsidP="00E549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Ubuntu" w:eastAsia="Times New Roman" w:hAnsi="Ubuntu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65089C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do plano de capital e do plano de contingência de capital; e</w:t>
            </w:r>
          </w:p>
          <w:p w14:paraId="364DA1AA" w14:textId="0575E42D" w:rsidR="00174FA1" w:rsidRPr="0065089C" w:rsidRDefault="00174FA1" w:rsidP="00E5496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65089C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da política de remuneração.</w:t>
            </w:r>
            <w:r w:rsidR="00103024" w:rsidRPr="0065089C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]</w:t>
            </w:r>
          </w:p>
          <w:p w14:paraId="3707B3BA" w14:textId="77777777" w:rsidR="00103024" w:rsidRPr="0096322D" w:rsidRDefault="00103024" w:rsidP="00E5496B">
            <w:pPr>
              <w:ind w:left="360" w:hanging="360"/>
              <w:jc w:val="both"/>
              <w:rPr>
                <w:rFonts w:ascii="Ubuntu" w:eastAsia="Times New Roman" w:hAnsi="Ubuntu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14:paraId="72C030C3" w14:textId="77777777" w:rsidR="003A0B9A" w:rsidRDefault="00103024" w:rsidP="00E5496B">
            <w:p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A Western Union rege seus negócios com base nos princípios e diretrizes e entende que todas as áreas são responsáveis pelo gerenciamento dos impactos Social, Ambiental e Climático na condução de seus negócios. </w:t>
            </w:r>
          </w:p>
          <w:p w14:paraId="0A05BE9D" w14:textId="77777777" w:rsidR="003A0B9A" w:rsidRDefault="003A0B9A" w:rsidP="00E5496B">
            <w:pPr>
              <w:ind w:left="360" w:hanging="36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</w:p>
          <w:p w14:paraId="24A08D5C" w14:textId="521BA7EB" w:rsidR="00103024" w:rsidRPr="00103024" w:rsidRDefault="00103024" w:rsidP="00E5496B">
            <w:pPr>
              <w:ind w:left="360" w:hanging="360"/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Para tanto estabelece procedimentos e controles, considerando:</w:t>
            </w:r>
          </w:p>
          <w:p w14:paraId="6043FFE1" w14:textId="77777777" w:rsidR="00103024" w:rsidRPr="00103024" w:rsidRDefault="00103024" w:rsidP="00E5496B">
            <w:pPr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Utilização de Sistemas, estabelecimento rotinas e procedimentos que possibilitem identificar, classificar, avaliar, monitorar, mitigar e controlar o risco Social, Ambiental e Climático presente nas atividades e nas operações da instituição;</w:t>
            </w:r>
          </w:p>
          <w:p w14:paraId="2BBC43B7" w14:textId="669C3FE6" w:rsidR="00103024" w:rsidRPr="00103024" w:rsidRDefault="00103024" w:rsidP="00E5496B">
            <w:pPr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Registro de dados e reporte no comitê Risco </w:t>
            </w:r>
            <w:r w:rsidR="0065089C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de Risco, </w:t>
            </w: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referentes as perdas efetivas em função de danos Social, Ambiental e Climático, pelo período mínimo de cinco anos, incluindo valores, tipo, localização e setor econômico objeto da operação, que constarão na mesma base de perdas operacionais.</w:t>
            </w:r>
          </w:p>
          <w:p w14:paraId="707E8950" w14:textId="21A3EF02" w:rsidR="00103024" w:rsidRPr="00103024" w:rsidRDefault="00103024" w:rsidP="00E5496B">
            <w:pPr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Avaliação prévia dos potenciais impactos Social, Ambiental e Climático para novos produtos e serviços, conforme definido no </w:t>
            </w:r>
            <w:r w:rsidR="0065089C"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Comitê </w:t>
            </w: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de Produto</w:t>
            </w:r>
            <w:r w:rsidR="0065089C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s</w:t>
            </w: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;</w:t>
            </w:r>
          </w:p>
          <w:p w14:paraId="4166A6FE" w14:textId="1EA6C730" w:rsidR="00103024" w:rsidRPr="00103024" w:rsidRDefault="00103024" w:rsidP="00E5496B">
            <w:pPr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 xml:space="preserve">Procedimentos para adequação do Gerenciamento do Risco Social, Ambiental e Climático </w:t>
            </w:r>
            <w:r w:rsidR="0065089C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à</w:t>
            </w: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s mudanças legais, regulamentares e de mercado.</w:t>
            </w:r>
          </w:p>
          <w:p w14:paraId="1A212B87" w14:textId="77777777" w:rsidR="00103024" w:rsidRPr="00103024" w:rsidRDefault="00103024" w:rsidP="00E5496B">
            <w:pPr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Aspectos relacionados ao trabalho análogo a escravo, infantil e à exploração sexual;</w:t>
            </w:r>
          </w:p>
          <w:p w14:paraId="058F97F0" w14:textId="77777777" w:rsidR="00103024" w:rsidRPr="00103024" w:rsidRDefault="00103024" w:rsidP="00E5496B">
            <w:pPr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</w:pPr>
            <w:r w:rsidRPr="00103024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Aspectos Social, Ambiental e Climático nos processos de contratação de fornecedores e prestadores de serviços (VRA). </w:t>
            </w:r>
          </w:p>
          <w:p w14:paraId="295396CF" w14:textId="21EC35C6" w:rsidR="00103024" w:rsidRPr="00103024" w:rsidRDefault="00103024" w:rsidP="00E5496B">
            <w:pPr>
              <w:ind w:left="360" w:hanging="360"/>
              <w:jc w:val="both"/>
              <w:rPr>
                <w:rFonts w:ascii="Ubuntu" w:eastAsia="Times New Roman" w:hAnsi="Ubuntu"/>
                <w:sz w:val="24"/>
                <w:szCs w:val="24"/>
                <w:lang w:val="pt-BR" w:eastAsia="pt-BR"/>
              </w:rPr>
            </w:pPr>
          </w:p>
        </w:tc>
      </w:tr>
      <w:tr w:rsidR="00174FA1" w:rsidRPr="00EF45C4" w14:paraId="011BB650" w14:textId="77777777" w:rsidTr="000F778E"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C436" w14:textId="77777777" w:rsidR="00174FA1" w:rsidRPr="00DC2DD2" w:rsidRDefault="00174FA1" w:rsidP="00E5496B">
            <w:pPr>
              <w:spacing w:after="100" w:afterAutospacing="1"/>
              <w:jc w:val="both"/>
              <w:rPr>
                <w:rFonts w:ascii="Ubuntu" w:eastAsia="Times New Roman" w:hAnsi="Ubuntu"/>
                <w:sz w:val="24"/>
                <w:szCs w:val="24"/>
                <w:lang w:eastAsia="pt-BR"/>
              </w:rPr>
            </w:pPr>
            <w:r w:rsidRPr="00DC2DD2">
              <w:rPr>
                <w:rFonts w:ascii="Calibri" w:eastAsia="Times New Roman" w:hAnsi="Calibri" w:cs="Calibri"/>
                <w:sz w:val="26"/>
                <w:szCs w:val="26"/>
                <w:lang w:eastAsia="pt-BR"/>
              </w:rPr>
              <w:t>(e)</w:t>
            </w:r>
          </w:p>
        </w:tc>
        <w:tc>
          <w:tcPr>
            <w:tcW w:w="8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F726" w14:textId="77777777" w:rsidR="00174FA1" w:rsidRPr="00174FA1" w:rsidRDefault="00174FA1" w:rsidP="00E5496B">
            <w:pPr>
              <w:spacing w:after="100" w:afterAutospacing="1"/>
              <w:jc w:val="both"/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174FA1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0"/>
                <w:szCs w:val="20"/>
                <w:lang w:val="pt-BR" w:eastAsia="pt-BR"/>
              </w:rPr>
              <w:t>Formas de monitoramento pelo CA e, na ausência deste, pela diretoria dos objetivos estratégicos e, se aplicável, das metas da instituição relacionados a aspectos sociais, ambientais e climáticos.</w:t>
            </w:r>
          </w:p>
          <w:p w14:paraId="63885B19" w14:textId="43B0F7B9" w:rsidR="00174FA1" w:rsidRPr="00C21620" w:rsidRDefault="00174FA1" w:rsidP="00E5496B">
            <w:pPr>
              <w:spacing w:after="100" w:afterAutospacing="1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pt-BR" w:eastAsia="pt-BR"/>
              </w:rPr>
            </w:pPr>
            <w:r w:rsidRPr="004C03B1">
              <w:rPr>
                <w:rFonts w:ascii="Calibri" w:eastAsia="Times New Roman" w:hAnsi="Calibri" w:cs="Calibri"/>
                <w:sz w:val="26"/>
                <w:szCs w:val="26"/>
                <w:lang w:val="pt-BR" w:eastAsia="pt-BR"/>
              </w:rPr>
              <w:t>Os objetivos estratégicos da Western Union relacionados aos aspectos social, ambiental e climático são monitorado no nível da matriz pelo departamento de ESG e em particular pela Diretoria da Western Union Brasil através dos Comitês e monitoramentos existentes</w:t>
            </w:r>
            <w:r w:rsidRPr="00C21620">
              <w:rPr>
                <w:rFonts w:asciiTheme="majorHAnsi" w:eastAsia="Times New Roman" w:hAnsiTheme="majorHAnsi" w:cstheme="majorHAnsi"/>
                <w:sz w:val="26"/>
                <w:szCs w:val="26"/>
                <w:lang w:val="pt-BR" w:eastAsia="pt-BR"/>
              </w:rPr>
              <w:t>.</w:t>
            </w:r>
          </w:p>
        </w:tc>
      </w:tr>
    </w:tbl>
    <w:p w14:paraId="31E5F464" w14:textId="77777777" w:rsidR="00D849DA" w:rsidRPr="0025704D" w:rsidRDefault="00D849DA" w:rsidP="00E5496B">
      <w:pPr>
        <w:spacing w:before="100" w:beforeAutospacing="1" w:after="100" w:afterAutospacing="1" w:line="240" w:lineRule="atLeast"/>
        <w:jc w:val="both"/>
        <w:textAlignment w:val="baseline"/>
        <w:rPr>
          <w:rFonts w:ascii="Arial" w:eastAsia="Bookman Old Style" w:hAnsi="Arial" w:cs="Arial"/>
          <w:b/>
          <w:color w:val="000000"/>
          <w:spacing w:val="-1"/>
          <w:sz w:val="20"/>
          <w:szCs w:val="20"/>
          <w:lang w:val="pt-BR"/>
        </w:rPr>
      </w:pPr>
    </w:p>
    <w:sectPr w:rsidR="00D849DA" w:rsidRPr="0025704D">
      <w:pgSz w:w="12240" w:h="15840"/>
      <w:pgMar w:top="720" w:right="430" w:bottom="160" w:left="11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4B3D" w14:textId="77777777" w:rsidR="00933EF6" w:rsidRDefault="00933EF6">
      <w:r>
        <w:separator/>
      </w:r>
    </w:p>
  </w:endnote>
  <w:endnote w:type="continuationSeparator" w:id="0">
    <w:p w14:paraId="682AA8A7" w14:textId="77777777" w:rsidR="00933EF6" w:rsidRDefault="0093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4559" w14:textId="32E7B0C8" w:rsidR="005D6E64" w:rsidRDefault="005D6E6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75C33E" wp14:editId="65F8237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10024047" name="Text Box 2" descr="Classification: Western Union Unrestricted 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5621C" w14:textId="28619B13" w:rsidR="005D6E64" w:rsidRPr="005D6E64" w:rsidRDefault="005D6E64" w:rsidP="005D6E6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6E6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Classification: Western Union Unrestricted 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5C3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Western Union Unrestricted Internal 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D15621C" w14:textId="28619B13" w:rsidR="005D6E64" w:rsidRPr="005D6E64" w:rsidRDefault="005D6E64" w:rsidP="005D6E6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6E6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Classification: Western Union Unrestricted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5025" w14:textId="1D91EFC8" w:rsidR="005D6E64" w:rsidRDefault="005D6E6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A88787" wp14:editId="58E005D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070260011" name="Text Box 1" descr="Classification: Western Union Unrestricted 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374FA" w14:textId="261B7915" w:rsidR="005D6E64" w:rsidRPr="005D6E64" w:rsidRDefault="005D6E64" w:rsidP="005D6E6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6E6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Classification: Western Union Unrestricted 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887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lassification: Western Union Unrestricted Internal 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93374FA" w14:textId="261B7915" w:rsidR="005D6E64" w:rsidRPr="005D6E64" w:rsidRDefault="005D6E64" w:rsidP="005D6E6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6E6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Classification: Western Union Unrestricted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4B21" w14:textId="77777777" w:rsidR="00933EF6" w:rsidRDefault="00933EF6"/>
  </w:footnote>
  <w:footnote w:type="continuationSeparator" w:id="0">
    <w:p w14:paraId="357D270B" w14:textId="77777777" w:rsidR="00933EF6" w:rsidRDefault="0093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C58D" w14:textId="5D52F423" w:rsidR="00AE43FC" w:rsidRDefault="00AE43FC" w:rsidP="00AE43FC">
    <w:pPr>
      <w:pStyle w:val="Header"/>
      <w:jc w:val="center"/>
    </w:pPr>
    <w:r>
      <w:rPr>
        <w:noProof/>
      </w:rPr>
      <w:drawing>
        <wp:inline distT="0" distB="0" distL="0" distR="0" wp14:anchorId="56DF1E4D" wp14:editId="58A173B1">
          <wp:extent cx="6653005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875" cy="8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760486" w14:textId="77777777" w:rsidR="00313B71" w:rsidRPr="00313B71" w:rsidRDefault="00313B71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F48"/>
    <w:multiLevelType w:val="multilevel"/>
    <w:tmpl w:val="4EC0ABB4"/>
    <w:lvl w:ilvl="0">
      <w:numFmt w:val="bullet"/>
      <w:lvlText w:val="Ø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764A1"/>
    <w:multiLevelType w:val="hybridMultilevel"/>
    <w:tmpl w:val="90BE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DCB"/>
    <w:multiLevelType w:val="hybridMultilevel"/>
    <w:tmpl w:val="7C36B66C"/>
    <w:lvl w:ilvl="0" w:tplc="2136709C">
      <w:numFmt w:val="bullet"/>
      <w:lvlText w:val="·"/>
      <w:lvlJc w:val="left"/>
      <w:pPr>
        <w:ind w:left="730" w:hanging="37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17DF"/>
    <w:multiLevelType w:val="hybridMultilevel"/>
    <w:tmpl w:val="E67810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7709"/>
    <w:multiLevelType w:val="hybridMultilevel"/>
    <w:tmpl w:val="B2423ABE"/>
    <w:lvl w:ilvl="0" w:tplc="3612D4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140D"/>
    <w:multiLevelType w:val="hybridMultilevel"/>
    <w:tmpl w:val="C4AA41EC"/>
    <w:lvl w:ilvl="0" w:tplc="60FC3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66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AE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DC1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44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AD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05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4A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66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200ECA"/>
    <w:multiLevelType w:val="multilevel"/>
    <w:tmpl w:val="0EB6B446"/>
    <w:lvl w:ilvl="0">
      <w:start w:val="1"/>
      <w:numFmt w:val="lowerRoman"/>
      <w:lvlText w:val="%1."/>
      <w:lvlJc w:val="left"/>
      <w:pPr>
        <w:tabs>
          <w:tab w:val="left" w:pos="576"/>
        </w:tabs>
      </w:pPr>
      <w:rPr>
        <w:rFonts w:ascii="Bookman Old Style" w:eastAsia="Bookman Old Style" w:hAnsi="Bookman Old Style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AF43E8"/>
    <w:multiLevelType w:val="hybridMultilevel"/>
    <w:tmpl w:val="B62AE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C4A"/>
    <w:multiLevelType w:val="hybridMultilevel"/>
    <w:tmpl w:val="6B0C0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5ED5"/>
    <w:multiLevelType w:val="hybridMultilevel"/>
    <w:tmpl w:val="B2423ABE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60929"/>
    <w:multiLevelType w:val="hybridMultilevel"/>
    <w:tmpl w:val="21F4DFF4"/>
    <w:lvl w:ilvl="0" w:tplc="6B7E36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4006C"/>
    <w:multiLevelType w:val="multilevel"/>
    <w:tmpl w:val="E10ABF62"/>
    <w:lvl w:ilvl="0">
      <w:numFmt w:val="bullet"/>
      <w:lvlText w:val="Ø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C39F2"/>
    <w:multiLevelType w:val="multilevel"/>
    <w:tmpl w:val="7442844C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Bookman Old Style" w:eastAsia="Bookman Old Style" w:hAnsi="Bookman Old Style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281F02"/>
    <w:multiLevelType w:val="hybridMultilevel"/>
    <w:tmpl w:val="95D48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524D3"/>
    <w:multiLevelType w:val="hybridMultilevel"/>
    <w:tmpl w:val="D1F8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793D"/>
    <w:multiLevelType w:val="hybridMultilevel"/>
    <w:tmpl w:val="D67CFD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C374B9"/>
    <w:multiLevelType w:val="hybridMultilevel"/>
    <w:tmpl w:val="5A7E0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87B9D"/>
    <w:multiLevelType w:val="hybridMultilevel"/>
    <w:tmpl w:val="0BCE25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FA2604B"/>
    <w:multiLevelType w:val="hybridMultilevel"/>
    <w:tmpl w:val="E7BEEC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66598"/>
    <w:multiLevelType w:val="hybridMultilevel"/>
    <w:tmpl w:val="95FED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01B92"/>
    <w:multiLevelType w:val="multilevel"/>
    <w:tmpl w:val="CBC4A108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Bookman Old Style" w:eastAsia="Bookman Old Style" w:hAnsi="Bookman Old Style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6933005">
    <w:abstractNumId w:val="6"/>
  </w:num>
  <w:num w:numId="2" w16cid:durableId="1709841740">
    <w:abstractNumId w:val="11"/>
  </w:num>
  <w:num w:numId="3" w16cid:durableId="949820514">
    <w:abstractNumId w:val="12"/>
  </w:num>
  <w:num w:numId="4" w16cid:durableId="631794130">
    <w:abstractNumId w:val="20"/>
  </w:num>
  <w:num w:numId="5" w16cid:durableId="275523729">
    <w:abstractNumId w:val="0"/>
  </w:num>
  <w:num w:numId="6" w16cid:durableId="787548535">
    <w:abstractNumId w:val="14"/>
  </w:num>
  <w:num w:numId="7" w16cid:durableId="363796715">
    <w:abstractNumId w:val="3"/>
  </w:num>
  <w:num w:numId="8" w16cid:durableId="46687199">
    <w:abstractNumId w:val="1"/>
  </w:num>
  <w:num w:numId="9" w16cid:durableId="2066634755">
    <w:abstractNumId w:val="10"/>
  </w:num>
  <w:num w:numId="10" w16cid:durableId="1203396478">
    <w:abstractNumId w:val="8"/>
  </w:num>
  <w:num w:numId="11" w16cid:durableId="2093117706">
    <w:abstractNumId w:val="18"/>
  </w:num>
  <w:num w:numId="12" w16cid:durableId="720398028">
    <w:abstractNumId w:val="17"/>
  </w:num>
  <w:num w:numId="13" w16cid:durableId="988902868">
    <w:abstractNumId w:val="4"/>
  </w:num>
  <w:num w:numId="14" w16cid:durableId="1296326360">
    <w:abstractNumId w:val="9"/>
  </w:num>
  <w:num w:numId="15" w16cid:durableId="2033996560">
    <w:abstractNumId w:val="13"/>
  </w:num>
  <w:num w:numId="16" w16cid:durableId="1737318789">
    <w:abstractNumId w:val="19"/>
  </w:num>
  <w:num w:numId="17" w16cid:durableId="1570115522">
    <w:abstractNumId w:val="7"/>
  </w:num>
  <w:num w:numId="18" w16cid:durableId="1580096556">
    <w:abstractNumId w:val="15"/>
  </w:num>
  <w:num w:numId="19" w16cid:durableId="191697736">
    <w:abstractNumId w:val="5"/>
  </w:num>
  <w:num w:numId="20" w16cid:durableId="1723096629">
    <w:abstractNumId w:val="16"/>
  </w:num>
  <w:num w:numId="21" w16cid:durableId="111844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0B"/>
    <w:rsid w:val="00012EF8"/>
    <w:rsid w:val="00051662"/>
    <w:rsid w:val="00073E3F"/>
    <w:rsid w:val="00074A02"/>
    <w:rsid w:val="000A321F"/>
    <w:rsid w:val="000D643A"/>
    <w:rsid w:val="000E41BD"/>
    <w:rsid w:val="00103024"/>
    <w:rsid w:val="00103724"/>
    <w:rsid w:val="00127026"/>
    <w:rsid w:val="00132D2E"/>
    <w:rsid w:val="0016331B"/>
    <w:rsid w:val="0016447A"/>
    <w:rsid w:val="00174FA1"/>
    <w:rsid w:val="001A65A2"/>
    <w:rsid w:val="001B3B6D"/>
    <w:rsid w:val="001C17A3"/>
    <w:rsid w:val="001C2596"/>
    <w:rsid w:val="001E06F6"/>
    <w:rsid w:val="001F18A5"/>
    <w:rsid w:val="0025704D"/>
    <w:rsid w:val="0026303F"/>
    <w:rsid w:val="002A1794"/>
    <w:rsid w:val="002B7425"/>
    <w:rsid w:val="002C354C"/>
    <w:rsid w:val="002C6119"/>
    <w:rsid w:val="00313710"/>
    <w:rsid w:val="00313B71"/>
    <w:rsid w:val="003221FC"/>
    <w:rsid w:val="00335A0B"/>
    <w:rsid w:val="0034028C"/>
    <w:rsid w:val="00352B85"/>
    <w:rsid w:val="00397D57"/>
    <w:rsid w:val="003A0B9A"/>
    <w:rsid w:val="00407F9C"/>
    <w:rsid w:val="004109DC"/>
    <w:rsid w:val="00444727"/>
    <w:rsid w:val="00456DB2"/>
    <w:rsid w:val="00473987"/>
    <w:rsid w:val="004C03B1"/>
    <w:rsid w:val="00504F3F"/>
    <w:rsid w:val="00585525"/>
    <w:rsid w:val="005A3DDF"/>
    <w:rsid w:val="005C65B5"/>
    <w:rsid w:val="005D4962"/>
    <w:rsid w:val="005D6E64"/>
    <w:rsid w:val="00603497"/>
    <w:rsid w:val="0065089C"/>
    <w:rsid w:val="006D1FCF"/>
    <w:rsid w:val="006E061E"/>
    <w:rsid w:val="006E6F73"/>
    <w:rsid w:val="007346CF"/>
    <w:rsid w:val="00775881"/>
    <w:rsid w:val="007D018E"/>
    <w:rsid w:val="007E1458"/>
    <w:rsid w:val="007E3727"/>
    <w:rsid w:val="00830195"/>
    <w:rsid w:val="008511BF"/>
    <w:rsid w:val="00863C8B"/>
    <w:rsid w:val="00884579"/>
    <w:rsid w:val="008B6A0D"/>
    <w:rsid w:val="008C19C1"/>
    <w:rsid w:val="008E69D2"/>
    <w:rsid w:val="00900F1F"/>
    <w:rsid w:val="00904C7A"/>
    <w:rsid w:val="009142FB"/>
    <w:rsid w:val="00933EF6"/>
    <w:rsid w:val="00944D8E"/>
    <w:rsid w:val="0096322D"/>
    <w:rsid w:val="0097605A"/>
    <w:rsid w:val="00985A09"/>
    <w:rsid w:val="00A17356"/>
    <w:rsid w:val="00A17FC5"/>
    <w:rsid w:val="00A327BC"/>
    <w:rsid w:val="00A3379C"/>
    <w:rsid w:val="00A518D4"/>
    <w:rsid w:val="00A61DED"/>
    <w:rsid w:val="00A67AC4"/>
    <w:rsid w:val="00AA0768"/>
    <w:rsid w:val="00AB0F8E"/>
    <w:rsid w:val="00AC7FF5"/>
    <w:rsid w:val="00AE43FC"/>
    <w:rsid w:val="00B5144E"/>
    <w:rsid w:val="00B949B6"/>
    <w:rsid w:val="00BA13FE"/>
    <w:rsid w:val="00BD38FC"/>
    <w:rsid w:val="00BD3DCC"/>
    <w:rsid w:val="00C04421"/>
    <w:rsid w:val="00C21620"/>
    <w:rsid w:val="00CA3D44"/>
    <w:rsid w:val="00CA46AD"/>
    <w:rsid w:val="00CF1D94"/>
    <w:rsid w:val="00D26273"/>
    <w:rsid w:val="00D564D8"/>
    <w:rsid w:val="00D619D0"/>
    <w:rsid w:val="00D67F72"/>
    <w:rsid w:val="00D82450"/>
    <w:rsid w:val="00D849DA"/>
    <w:rsid w:val="00D964A9"/>
    <w:rsid w:val="00DD10C0"/>
    <w:rsid w:val="00E06F29"/>
    <w:rsid w:val="00E23739"/>
    <w:rsid w:val="00E5496B"/>
    <w:rsid w:val="00E70986"/>
    <w:rsid w:val="00EA4AD4"/>
    <w:rsid w:val="00EF45C4"/>
    <w:rsid w:val="00F03F39"/>
    <w:rsid w:val="00F14A56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E58C7"/>
  <w15:docId w15:val="{06E3C185-D8DA-4723-B7E4-132E4A6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71"/>
  </w:style>
  <w:style w:type="paragraph" w:styleId="Footer">
    <w:name w:val="footer"/>
    <w:basedOn w:val="Normal"/>
    <w:link w:val="FooterChar"/>
    <w:uiPriority w:val="99"/>
    <w:unhideWhenUsed/>
    <w:rsid w:val="00313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71"/>
  </w:style>
  <w:style w:type="paragraph" w:styleId="BodyText2">
    <w:name w:val="Body Text 2"/>
    <w:basedOn w:val="Normal"/>
    <w:link w:val="BodyText2Char"/>
    <w:uiPriority w:val="99"/>
    <w:semiHidden/>
    <w:unhideWhenUsed/>
    <w:rsid w:val="000A32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321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D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0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061E"/>
    <w:pPr>
      <w:spacing w:line="259" w:lineRule="auto"/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F03F39"/>
  </w:style>
  <w:style w:type="character" w:customStyle="1" w:styleId="Heading2Char">
    <w:name w:val="Heading 2 Char"/>
    <w:basedOn w:val="DefaultParagraphFont"/>
    <w:link w:val="Heading2"/>
    <w:uiPriority w:val="9"/>
    <w:rsid w:val="00D56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E37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37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E372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04F3F"/>
    <w:rPr>
      <w:i/>
      <w:iCs/>
    </w:rPr>
  </w:style>
  <w:style w:type="paragraph" w:styleId="Revision">
    <w:name w:val="Revision"/>
    <w:hidden/>
    <w:uiPriority w:val="99"/>
    <w:semiHidden/>
    <w:rsid w:val="00A67AC4"/>
  </w:style>
  <w:style w:type="character" w:styleId="CommentReference">
    <w:name w:val="annotation reference"/>
    <w:basedOn w:val="DefaultParagraphFont"/>
    <w:uiPriority w:val="99"/>
    <w:semiHidden/>
    <w:unhideWhenUsed/>
    <w:rsid w:val="00A67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552112-8041-41d5-ae1a-13bcd3ab74f4" xsi:nil="true"/>
    <lcf76f155ced4ddcb4097134ff3c332f xmlns="1341b20b-f5fb-41d5-af0d-6f0992cf0f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E4C3898291246833BFA681175F632" ma:contentTypeVersion="15" ma:contentTypeDescription="Crie um novo documento." ma:contentTypeScope="" ma:versionID="1e4442ab72a7be3189cc4023b920607d">
  <xsd:schema xmlns:xsd="http://www.w3.org/2001/XMLSchema" xmlns:xs="http://www.w3.org/2001/XMLSchema" xmlns:p="http://schemas.microsoft.com/office/2006/metadata/properties" xmlns:ns2="1341b20b-f5fb-41d5-af0d-6f0992cf0f7e" xmlns:ns3="f8552112-8041-41d5-ae1a-13bcd3ab74f4" targetNamespace="http://schemas.microsoft.com/office/2006/metadata/properties" ma:root="true" ma:fieldsID="23408edfb1eaedf130513ec54efb01ba" ns2:_="" ns3:_="">
    <xsd:import namespace="1341b20b-f5fb-41d5-af0d-6f0992cf0f7e"/>
    <xsd:import namespace="f8552112-8041-41d5-ae1a-13bcd3ab7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1b20b-f5fb-41d5-af0d-6f0992cf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add3b0b0-5841-46b4-a2c3-e9344038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52112-8041-41d5-ae1a-13bcd3ab74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1eefe9-c4a3-4e14-8c3d-d6fad05466a6}" ma:internalName="TaxCatchAll" ma:showField="CatchAllData" ma:web="f8552112-8041-41d5-ae1a-13bcd3ab7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9A2CD-43D0-4E13-B290-AF9463CDE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0D90A-4482-402C-823B-79ED491B029D}">
  <ds:schemaRefs>
    <ds:schemaRef ds:uri="http://schemas.microsoft.com/office/2006/metadata/properties"/>
    <ds:schemaRef ds:uri="http://schemas.microsoft.com/office/infopath/2007/PartnerControls"/>
    <ds:schemaRef ds:uri="f8552112-8041-41d5-ae1a-13bcd3ab74f4"/>
    <ds:schemaRef ds:uri="1341b20b-f5fb-41d5-af0d-6f0992cf0f7e"/>
  </ds:schemaRefs>
</ds:datastoreItem>
</file>

<file path=customXml/itemProps3.xml><?xml version="1.0" encoding="utf-8"?>
<ds:datastoreItem xmlns:ds="http://schemas.openxmlformats.org/officeDocument/2006/customXml" ds:itemID="{05109433-4A9F-4552-8AAE-3E6D13C0A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9A4F2-0003-45B2-9414-C6CA107DA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Information Systems</dc:creator>
  <cp:lastModifiedBy>Raphael Pinheiro Marino</cp:lastModifiedBy>
  <cp:revision>5</cp:revision>
  <cp:lastPrinted>2023-03-15T14:52:00Z</cp:lastPrinted>
  <dcterms:created xsi:type="dcterms:W3CDTF">2023-12-04T18:25:00Z</dcterms:created>
  <dcterms:modified xsi:type="dcterms:W3CDTF">2023-12-05T12:34:00Z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05c26bb0-7950-49c2-88e3-ab1f1eb86cb7</vt:lpwstr>
  </property>
  <property fmtid="{D5CDD505-2E9C-101B-9397-08002B2CF9AE}" pid="3" name="Classified By">
    <vt:lpwstr>Raphael Pinheiro Marino</vt:lpwstr>
  </property>
  <property fmtid="{D5CDD505-2E9C-101B-9397-08002B2CF9AE}" pid="4" name="Date and Time">
    <vt:lpwstr>05/12/2022 09:30</vt:lpwstr>
  </property>
  <property fmtid="{D5CDD505-2E9C-101B-9397-08002B2CF9AE}" pid="5" name="WUClass">
    <vt:lpwstr>CL6</vt:lpwstr>
  </property>
  <property fmtid="{D5CDD505-2E9C-101B-9397-08002B2CF9AE}" pid="6" name="Footer">
    <vt:lpwstr>N</vt:lpwstr>
  </property>
  <property fmtid="{D5CDD505-2E9C-101B-9397-08002B2CF9AE}" pid="7" name="ContentTypeId">
    <vt:lpwstr>0x010100048E4C3898291246833BFA681175F632</vt:lpwstr>
  </property>
  <property fmtid="{D5CDD505-2E9C-101B-9397-08002B2CF9AE}" pid="8" name="ClassificationContentMarkingFooterShapeIds">
    <vt:lpwstr>7b65a92b,68ed56f,1cc8c880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Classification: Western Union Unrestricted Internal </vt:lpwstr>
  </property>
  <property fmtid="{D5CDD505-2E9C-101B-9397-08002B2CF9AE}" pid="11" name="MSIP_Label_59f1515f-ae52-4b62-8ae2-5819636ba48f_Enabled">
    <vt:lpwstr>true</vt:lpwstr>
  </property>
  <property fmtid="{D5CDD505-2E9C-101B-9397-08002B2CF9AE}" pid="12" name="MSIP_Label_59f1515f-ae52-4b62-8ae2-5819636ba48f_SetDate">
    <vt:lpwstr>2023-10-24T17:44:25Z</vt:lpwstr>
  </property>
  <property fmtid="{D5CDD505-2E9C-101B-9397-08002B2CF9AE}" pid="13" name="MSIP_Label_59f1515f-ae52-4b62-8ae2-5819636ba48f_Method">
    <vt:lpwstr>Privileged</vt:lpwstr>
  </property>
  <property fmtid="{D5CDD505-2E9C-101B-9397-08002B2CF9AE}" pid="14" name="MSIP_Label_59f1515f-ae52-4b62-8ae2-5819636ba48f_Name">
    <vt:lpwstr>Unrestricted Internal</vt:lpwstr>
  </property>
  <property fmtid="{D5CDD505-2E9C-101B-9397-08002B2CF9AE}" pid="15" name="MSIP_Label_59f1515f-ae52-4b62-8ae2-5819636ba48f_SiteId">
    <vt:lpwstr>ce3a67f2-5a22-4fb8-a511-815f8924cda6</vt:lpwstr>
  </property>
  <property fmtid="{D5CDD505-2E9C-101B-9397-08002B2CF9AE}" pid="16" name="MSIP_Label_59f1515f-ae52-4b62-8ae2-5819636ba48f_ActionId">
    <vt:lpwstr>afadd6b0-8546-4557-99bb-6ecdae486852</vt:lpwstr>
  </property>
  <property fmtid="{D5CDD505-2E9C-101B-9397-08002B2CF9AE}" pid="17" name="MSIP_Label_59f1515f-ae52-4b62-8ae2-5819636ba48f_ContentBits">
    <vt:lpwstr>2</vt:lpwstr>
  </property>
  <property fmtid="{D5CDD505-2E9C-101B-9397-08002B2CF9AE}" pid="18" name="MediaServiceImageTags">
    <vt:lpwstr/>
  </property>
</Properties>
</file>